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33" w:rsidRPr="00565F33" w:rsidRDefault="00565F33" w:rsidP="00565F33">
      <w:pPr>
        <w:ind w:firstLine="567"/>
        <w:jc w:val="center"/>
        <w:rPr>
          <w:rFonts w:eastAsia="Calibri"/>
          <w:b/>
          <w:sz w:val="28"/>
          <w:szCs w:val="24"/>
        </w:rPr>
      </w:pPr>
      <w:r w:rsidRPr="00565F33">
        <w:rPr>
          <w:rFonts w:eastAsia="Calibri"/>
          <w:b/>
          <w:sz w:val="28"/>
          <w:szCs w:val="24"/>
        </w:rPr>
        <w:t>Раздел "Обществ</w:t>
      </w:r>
      <w:r w:rsidR="00C83637">
        <w:rPr>
          <w:rFonts w:eastAsia="Calibri"/>
          <w:b/>
          <w:sz w:val="28"/>
          <w:szCs w:val="24"/>
        </w:rPr>
        <w:t>енность</w:t>
      </w:r>
      <w:r w:rsidRPr="00565F33">
        <w:rPr>
          <w:rFonts w:eastAsia="Calibri"/>
          <w:b/>
          <w:sz w:val="28"/>
          <w:szCs w:val="24"/>
        </w:rPr>
        <w:t xml:space="preserve"> и природа"</w:t>
      </w:r>
    </w:p>
    <w:p w:rsidR="00565F33" w:rsidRDefault="00565F33" w:rsidP="00565F33">
      <w:pPr>
        <w:ind w:firstLine="567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УДК</w:t>
      </w:r>
    </w:p>
    <w:p w:rsidR="00565F33" w:rsidRPr="00565F33" w:rsidRDefault="00565F33" w:rsidP="00565F33">
      <w:pPr>
        <w:ind w:firstLine="567"/>
        <w:jc w:val="center"/>
        <w:rPr>
          <w:rFonts w:eastAsia="Calibri"/>
          <w:b/>
          <w:sz w:val="28"/>
          <w:szCs w:val="24"/>
        </w:rPr>
      </w:pPr>
      <w:r w:rsidRPr="00565F33">
        <w:rPr>
          <w:rFonts w:eastAsia="Calibri"/>
          <w:b/>
          <w:sz w:val="28"/>
          <w:szCs w:val="24"/>
        </w:rPr>
        <w:t>Актуальн</w:t>
      </w:r>
      <w:r>
        <w:rPr>
          <w:rFonts w:eastAsia="Calibri"/>
          <w:b/>
          <w:sz w:val="28"/>
          <w:szCs w:val="24"/>
        </w:rPr>
        <w:t>ы</w:t>
      </w:r>
      <w:r w:rsidRPr="00565F33">
        <w:rPr>
          <w:rFonts w:eastAsia="Calibri"/>
          <w:b/>
          <w:sz w:val="28"/>
          <w:szCs w:val="24"/>
        </w:rPr>
        <w:t>е проблемы социальной экологии</w:t>
      </w:r>
    </w:p>
    <w:p w:rsidR="00565F33" w:rsidRPr="00565F33" w:rsidRDefault="00565F33" w:rsidP="00565F33">
      <w:pPr>
        <w:ind w:firstLine="567"/>
        <w:jc w:val="center"/>
        <w:rPr>
          <w:rFonts w:eastAsia="Calibri"/>
          <w:i/>
          <w:szCs w:val="24"/>
        </w:rPr>
      </w:pPr>
      <w:r w:rsidRPr="00565F33">
        <w:rPr>
          <w:rFonts w:eastAsia="Calibri"/>
          <w:i/>
          <w:szCs w:val="24"/>
        </w:rPr>
        <w:t xml:space="preserve">И.А. </w:t>
      </w:r>
      <w:proofErr w:type="spellStart"/>
      <w:r w:rsidRPr="00565F33">
        <w:rPr>
          <w:rFonts w:eastAsia="Calibri"/>
          <w:i/>
          <w:szCs w:val="24"/>
        </w:rPr>
        <w:t>Сосунова</w:t>
      </w:r>
      <w:proofErr w:type="spellEnd"/>
      <w:r w:rsidRPr="00565F33">
        <w:rPr>
          <w:rFonts w:eastAsia="Calibri"/>
          <w:i/>
          <w:szCs w:val="24"/>
        </w:rPr>
        <w:t>, д</w:t>
      </w:r>
      <w:proofErr w:type="gramStart"/>
      <w:r w:rsidRPr="00565F33">
        <w:rPr>
          <w:rFonts w:eastAsia="Calibri"/>
          <w:i/>
          <w:szCs w:val="24"/>
        </w:rPr>
        <w:t>.с</w:t>
      </w:r>
      <w:proofErr w:type="gramEnd"/>
      <w:r w:rsidRPr="00565F33">
        <w:rPr>
          <w:rFonts w:eastAsia="Calibri"/>
          <w:i/>
          <w:szCs w:val="24"/>
        </w:rPr>
        <w:t xml:space="preserve">оц.н., проф., </w:t>
      </w:r>
      <w:proofErr w:type="spellStart"/>
      <w:r w:rsidRPr="00565F33">
        <w:rPr>
          <w:rFonts w:eastAsia="Calibri"/>
          <w:i/>
          <w:szCs w:val="24"/>
        </w:rPr>
        <w:t>НИА-Природа</w:t>
      </w:r>
      <w:proofErr w:type="spellEnd"/>
    </w:p>
    <w:p w:rsidR="00C54BDD" w:rsidRDefault="00C54BDD" w:rsidP="00565F33">
      <w:pPr>
        <w:rPr>
          <w:sz w:val="22"/>
        </w:rPr>
      </w:pPr>
    </w:p>
    <w:p w:rsidR="00565F33" w:rsidRPr="00565F33" w:rsidRDefault="00565F33" w:rsidP="00565F33">
      <w:pPr>
        <w:rPr>
          <w:sz w:val="22"/>
        </w:rPr>
      </w:pPr>
      <w:r w:rsidRPr="00565F33">
        <w:rPr>
          <w:sz w:val="22"/>
        </w:rPr>
        <w:t>В данной статье рассматриваются современные</w:t>
      </w:r>
      <w:r w:rsidR="004E55E1">
        <w:rPr>
          <w:sz w:val="22"/>
        </w:rPr>
        <w:t xml:space="preserve"> </w:t>
      </w:r>
      <w:r w:rsidRPr="00565F33">
        <w:rPr>
          <w:sz w:val="22"/>
        </w:rPr>
        <w:t>актуальные проблемы социальной экологии, обозначен сам</w:t>
      </w:r>
      <w:r w:rsidR="004E55E1">
        <w:rPr>
          <w:sz w:val="22"/>
        </w:rPr>
        <w:t xml:space="preserve"> </w:t>
      </w:r>
      <w:r w:rsidRPr="00565F33">
        <w:rPr>
          <w:sz w:val="22"/>
        </w:rPr>
        <w:t xml:space="preserve">предмет </w:t>
      </w:r>
      <w:proofErr w:type="spellStart"/>
      <w:r w:rsidRPr="00565F33">
        <w:rPr>
          <w:sz w:val="22"/>
        </w:rPr>
        <w:t>соцэкологии</w:t>
      </w:r>
      <w:proofErr w:type="spellEnd"/>
      <w:r w:rsidRPr="00565F33">
        <w:rPr>
          <w:sz w:val="22"/>
        </w:rPr>
        <w:t>, дается оценка экологической ситуации в России за последнее десятилетие, приводятся социологические данные по опросам экспертов и оценочные</w:t>
      </w:r>
      <w:r w:rsidR="004E55E1">
        <w:rPr>
          <w:sz w:val="22"/>
        </w:rPr>
        <w:t xml:space="preserve"> </w:t>
      </w:r>
      <w:r w:rsidRPr="00565F33">
        <w:rPr>
          <w:sz w:val="22"/>
        </w:rPr>
        <w:t>значения</w:t>
      </w:r>
      <w:r w:rsidR="004E55E1">
        <w:rPr>
          <w:sz w:val="22"/>
        </w:rPr>
        <w:t xml:space="preserve"> </w:t>
      </w:r>
      <w:r w:rsidRPr="00565F33">
        <w:rPr>
          <w:sz w:val="22"/>
        </w:rPr>
        <w:t xml:space="preserve">индекса экологической напряженности. </w:t>
      </w:r>
    </w:p>
    <w:p w:rsidR="00565F33" w:rsidRPr="00565F33" w:rsidRDefault="00565F33" w:rsidP="00565F33">
      <w:pPr>
        <w:rPr>
          <w:sz w:val="22"/>
        </w:rPr>
      </w:pPr>
      <w:r w:rsidRPr="00565F33">
        <w:rPr>
          <w:i/>
          <w:sz w:val="22"/>
        </w:rPr>
        <w:t>Ключевые слова</w:t>
      </w:r>
      <w:r w:rsidRPr="00565F33">
        <w:rPr>
          <w:sz w:val="22"/>
        </w:rPr>
        <w:t xml:space="preserve">: социальная экология, экологическая ситуация, социологические исследования, экспертные опросы, индекс </w:t>
      </w:r>
      <w:proofErr w:type="spellStart"/>
      <w:r w:rsidRPr="00565F33">
        <w:rPr>
          <w:sz w:val="22"/>
        </w:rPr>
        <w:t>социо-экологической</w:t>
      </w:r>
      <w:proofErr w:type="spellEnd"/>
      <w:r w:rsidRPr="00565F33">
        <w:rPr>
          <w:sz w:val="22"/>
        </w:rPr>
        <w:t xml:space="preserve"> напряженности</w:t>
      </w:r>
    </w:p>
    <w:p w:rsidR="00565F33" w:rsidRDefault="00565F33" w:rsidP="001135DA">
      <w:pPr>
        <w:ind w:firstLine="567"/>
        <w:rPr>
          <w:rFonts w:eastAsia="Calibri"/>
          <w:szCs w:val="24"/>
        </w:rPr>
      </w:pPr>
    </w:p>
    <w:p w:rsidR="00CE6F73" w:rsidRPr="00565F33" w:rsidRDefault="00565F33" w:rsidP="001135DA">
      <w:pPr>
        <w:ind w:firstLine="567"/>
      </w:pPr>
      <w:r>
        <w:rPr>
          <w:rFonts w:eastAsia="Calibri"/>
          <w:szCs w:val="24"/>
        </w:rPr>
        <w:t>Предмет социальной экологии – з</w:t>
      </w:r>
      <w:r w:rsidR="00416772">
        <w:rPr>
          <w:rFonts w:eastAsia="Calibri"/>
          <w:szCs w:val="24"/>
        </w:rPr>
        <w:t>акономерности и формы взаимодействия человеческого общества с окружающей природной средой, условия поддержа</w:t>
      </w:r>
      <w:r>
        <w:rPr>
          <w:rFonts w:eastAsia="Calibri"/>
          <w:szCs w:val="24"/>
        </w:rPr>
        <w:t>ния равновесия в этом процессе</w:t>
      </w:r>
      <w:r w:rsidR="00416772">
        <w:rPr>
          <w:rFonts w:eastAsia="Calibri"/>
          <w:szCs w:val="24"/>
        </w:rPr>
        <w:t xml:space="preserve">. Одним из важных направлений </w:t>
      </w:r>
      <w:r>
        <w:rPr>
          <w:rFonts w:eastAsia="Calibri"/>
          <w:szCs w:val="24"/>
        </w:rPr>
        <w:t xml:space="preserve">социальной экологии </w:t>
      </w:r>
      <w:r w:rsidR="00416772">
        <w:rPr>
          <w:rFonts w:eastAsia="Calibri"/>
          <w:szCs w:val="24"/>
        </w:rPr>
        <w:t>является исследование прямых и обратных связей между процессами, происходящими в демографии</w:t>
      </w:r>
      <w:r w:rsidR="004E55E1">
        <w:rPr>
          <w:rFonts w:eastAsia="Calibri"/>
          <w:szCs w:val="24"/>
        </w:rPr>
        <w:t xml:space="preserve"> </w:t>
      </w:r>
      <w:r w:rsidR="00416772">
        <w:rPr>
          <w:rFonts w:eastAsia="Calibri"/>
          <w:szCs w:val="24"/>
        </w:rPr>
        <w:t>и окружающей среде, причин, способствующих изменению экологического поведения населения в разных социально-экономических ситуациях.</w:t>
      </w:r>
      <w:r>
        <w:rPr>
          <w:rFonts w:eastAsia="Calibri"/>
          <w:szCs w:val="24"/>
        </w:rPr>
        <w:t xml:space="preserve"> </w:t>
      </w:r>
      <w:r w:rsidR="00416772">
        <w:rPr>
          <w:rFonts w:eastAsia="Calibri"/>
          <w:szCs w:val="24"/>
        </w:rPr>
        <w:t>Социальная</w:t>
      </w:r>
      <w:r w:rsidR="004E55E1">
        <w:rPr>
          <w:rFonts w:eastAsia="Calibri"/>
          <w:szCs w:val="24"/>
        </w:rPr>
        <w:t xml:space="preserve"> </w:t>
      </w:r>
      <w:r w:rsidR="00416772">
        <w:rPr>
          <w:rFonts w:eastAsia="Calibri"/>
          <w:szCs w:val="24"/>
        </w:rPr>
        <w:t>экология заостряет внимание на м</w:t>
      </w:r>
      <w:r>
        <w:rPr>
          <w:rFonts w:eastAsia="Calibri"/>
          <w:szCs w:val="24"/>
        </w:rPr>
        <w:t xml:space="preserve">ногих экологических проблемах, </w:t>
      </w:r>
      <w:r w:rsidR="00416772">
        <w:rPr>
          <w:rFonts w:eastAsia="Calibri"/>
          <w:szCs w:val="24"/>
        </w:rPr>
        <w:t>требующих совместного решения власти, бизнеса и общества, и полемика вокруг которых только обостряется</w:t>
      </w:r>
      <w:r>
        <w:rPr>
          <w:rFonts w:eastAsia="Calibri"/>
          <w:szCs w:val="24"/>
        </w:rPr>
        <w:t xml:space="preserve"> </w:t>
      </w:r>
      <w:r w:rsidRPr="00565F33">
        <w:rPr>
          <w:rFonts w:eastAsia="Calibri"/>
          <w:szCs w:val="24"/>
        </w:rPr>
        <w:t>[1]</w:t>
      </w:r>
      <w:r>
        <w:rPr>
          <w:rFonts w:eastAsia="Calibri"/>
          <w:szCs w:val="24"/>
        </w:rPr>
        <w:t>.</w:t>
      </w:r>
    </w:p>
    <w:p w:rsidR="00CE6F73" w:rsidRDefault="00416772" w:rsidP="001135DA">
      <w:pPr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Существует три условия, при которых применение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методов социальной экологии в сфере управления создают долгосрочные преимущества:</w:t>
      </w:r>
      <w:r w:rsidR="00565F33" w:rsidRPr="00565F33">
        <w:rPr>
          <w:rFonts w:eastAsia="Calibri"/>
          <w:szCs w:val="24"/>
        </w:rPr>
        <w:t xml:space="preserve"> 1) </w:t>
      </w:r>
      <w:r>
        <w:rPr>
          <w:rFonts w:eastAsia="Calibri"/>
          <w:szCs w:val="24"/>
        </w:rPr>
        <w:t>социально-экологические исследования базируются на новых принципах, бросающих вызов традиционному мышлению;</w:t>
      </w:r>
      <w:r w:rsidR="00565F33" w:rsidRPr="00565F33">
        <w:rPr>
          <w:rFonts w:eastAsia="Calibri"/>
          <w:szCs w:val="24"/>
        </w:rPr>
        <w:t xml:space="preserve"> 2) </w:t>
      </w:r>
      <w:r>
        <w:rPr>
          <w:rFonts w:eastAsia="Calibri"/>
          <w:szCs w:val="24"/>
        </w:rPr>
        <w:t>социально-экологические исследования, как правило, являются системными, включающими большой спектр методов и приемов;</w:t>
      </w:r>
      <w:r w:rsidR="00565F33" w:rsidRPr="00565F33">
        <w:rPr>
          <w:rFonts w:eastAsia="Calibri"/>
          <w:szCs w:val="24"/>
        </w:rPr>
        <w:t xml:space="preserve"> 3) </w:t>
      </w:r>
      <w:r>
        <w:rPr>
          <w:rFonts w:eastAsia="Calibri"/>
          <w:szCs w:val="24"/>
        </w:rPr>
        <w:t>социально-экологические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исследования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часто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выходят на инновации, которые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являются частью непрерывного процесса нововведений, со временем приводящего к усовершенствованиям и </w:t>
      </w:r>
      <w:proofErr w:type="gramStart"/>
      <w:r>
        <w:rPr>
          <w:rFonts w:eastAsia="Calibri"/>
          <w:szCs w:val="24"/>
        </w:rPr>
        <w:t>изменениям</w:t>
      </w:r>
      <w:proofErr w:type="gramEnd"/>
      <w:r>
        <w:rPr>
          <w:rFonts w:eastAsia="Calibri"/>
          <w:szCs w:val="24"/>
        </w:rPr>
        <w:t xml:space="preserve"> прежде всего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окружающей среды</w:t>
      </w:r>
      <w:r w:rsidR="00565F33" w:rsidRPr="00565F33">
        <w:rPr>
          <w:rFonts w:eastAsia="Calibri"/>
          <w:szCs w:val="24"/>
        </w:rPr>
        <w:t xml:space="preserve"> [</w:t>
      </w:r>
      <w:r w:rsidR="00565F33">
        <w:rPr>
          <w:rFonts w:eastAsia="Calibri"/>
          <w:szCs w:val="24"/>
        </w:rPr>
        <w:t>2</w:t>
      </w:r>
      <w:r w:rsidR="00565F33" w:rsidRPr="00565F33">
        <w:rPr>
          <w:rFonts w:eastAsia="Calibri"/>
          <w:szCs w:val="24"/>
        </w:rPr>
        <w:t>]</w:t>
      </w:r>
      <w:r>
        <w:rPr>
          <w:rFonts w:eastAsia="Calibri"/>
          <w:szCs w:val="24"/>
        </w:rPr>
        <w:t>.</w:t>
      </w:r>
    </w:p>
    <w:p w:rsidR="00CE6F73" w:rsidRDefault="00416772" w:rsidP="001135DA">
      <w:pPr>
        <w:ind w:firstLine="567"/>
      </w:pPr>
      <w:r>
        <w:rPr>
          <w:rFonts w:eastAsia="Calibri"/>
          <w:szCs w:val="24"/>
        </w:rPr>
        <w:t xml:space="preserve"> Небольшой пример, иллюстрирующий состояние современной жизни: есть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пока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неразрешимая проблема, требующая свежих идей: так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изменение климата, экологические катастрофы, локальные войны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влияют на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потребление природных ресурсов и объемы загрязнений</w:t>
      </w:r>
      <w:proofErr w:type="gramStart"/>
      <w:r>
        <w:rPr>
          <w:rFonts w:eastAsia="Calibri"/>
          <w:szCs w:val="24"/>
        </w:rPr>
        <w:t xml:space="preserve"> Н</w:t>
      </w:r>
      <w:proofErr w:type="gramEnd"/>
      <w:r>
        <w:rPr>
          <w:rFonts w:eastAsia="Calibri"/>
          <w:szCs w:val="24"/>
        </w:rPr>
        <w:t>а душу населения в развитых странах он выше в 20-30 раз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по сравнению с подобным показателем в развивающихся странах. Для достижения всеми странами мира уровня развития и потребления передовых стран понадобилось бы увеличить использование природных ресурсов и количество загрязнений в десятки раз, что невозможно по объективным причинам. Социальная экология, предлагая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новые принципы или систему иных взглядов и по</w:t>
      </w:r>
      <w:r w:rsidR="000C2DA6">
        <w:rPr>
          <w:rFonts w:eastAsia="Calibri"/>
          <w:szCs w:val="24"/>
        </w:rPr>
        <w:t xml:space="preserve">нятий (например, </w:t>
      </w:r>
      <w:proofErr w:type="spellStart"/>
      <w:r w:rsidR="000C2DA6">
        <w:rPr>
          <w:rFonts w:eastAsia="Calibri"/>
          <w:szCs w:val="24"/>
        </w:rPr>
        <w:t>холистических</w:t>
      </w:r>
      <w:proofErr w:type="spellEnd"/>
      <w:r>
        <w:rPr>
          <w:rFonts w:eastAsia="Calibri"/>
          <w:szCs w:val="24"/>
        </w:rPr>
        <w:t>),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по сути дела осуществляет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пересмотр традиций и догм, которые ог</w:t>
      </w:r>
      <w:r w:rsidR="00565F33">
        <w:rPr>
          <w:rFonts w:eastAsia="Calibri"/>
          <w:szCs w:val="24"/>
        </w:rPr>
        <w:t xml:space="preserve">раничивают творческое </w:t>
      </w:r>
      <w:proofErr w:type="gramStart"/>
      <w:r w:rsidR="00565F33">
        <w:rPr>
          <w:rFonts w:eastAsia="Calibri"/>
          <w:szCs w:val="24"/>
        </w:rPr>
        <w:t>мышление</w:t>
      </w:r>
      <w:proofErr w:type="gramEnd"/>
      <w:r w:rsidR="00565F3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помогает по-новому определит</w:t>
      </w:r>
      <w:r w:rsidR="00565F33">
        <w:rPr>
          <w:rFonts w:eastAsia="Calibri"/>
          <w:szCs w:val="24"/>
        </w:rPr>
        <w:t>ь возможности решения проблемы.</w:t>
      </w:r>
    </w:p>
    <w:p w:rsidR="00CE6F73" w:rsidRDefault="00416772" w:rsidP="001135DA">
      <w:pPr>
        <w:ind w:firstLine="567"/>
      </w:pPr>
      <w:r>
        <w:rPr>
          <w:rFonts w:eastAsia="Calibri"/>
          <w:szCs w:val="24"/>
        </w:rPr>
        <w:t>Поскольку сейчас воздействие человека на природу достигло огромных масштабов, а в густонаселенных районах антропогенные воздействия стали преобладающей силой в формировании характеристик окружающей природной среды,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неблагоприятная экологическая обстановка в промышленно развитых странах, в том числе и России, по мнению социальных экологов, стала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влиять на общую социальную ситуацию. Это в полной мере наблюдается и сейчас на 15% российской территории. Критическая или околокритическая экологическая ситуация отмечается в регионах, где проживают более 60 млн человек. Результаты социологических исследований наглядно свидетельствуют о</w:t>
      </w:r>
      <w:r>
        <w:rPr>
          <w:rFonts w:eastAsia="Calibri"/>
          <w:i/>
          <w:szCs w:val="24"/>
        </w:rPr>
        <w:t xml:space="preserve"> </w:t>
      </w:r>
      <w:r>
        <w:rPr>
          <w:rFonts w:eastAsia="Calibri"/>
          <w:szCs w:val="24"/>
        </w:rPr>
        <w:t xml:space="preserve">понимании экспертами и населением России данных проблем; </w:t>
      </w:r>
      <w:proofErr w:type="gramStart"/>
      <w:r>
        <w:rPr>
          <w:rFonts w:eastAsia="Calibri"/>
          <w:szCs w:val="24"/>
        </w:rPr>
        <w:t>об этом говорят как мате</w:t>
      </w:r>
      <w:r w:rsidR="00565F33">
        <w:rPr>
          <w:rFonts w:eastAsia="Calibri"/>
          <w:szCs w:val="24"/>
        </w:rPr>
        <w:t xml:space="preserve">риалы опросов, выполненных еще в </w:t>
      </w:r>
      <w:r>
        <w:rPr>
          <w:rFonts w:eastAsia="Calibri"/>
          <w:szCs w:val="24"/>
        </w:rPr>
        <w:t>2001</w:t>
      </w:r>
      <w:r w:rsidR="00565F33">
        <w:rPr>
          <w:rFonts w:eastAsia="Calibri"/>
          <w:szCs w:val="24"/>
        </w:rPr>
        <w:t>-</w:t>
      </w:r>
      <w:r>
        <w:rPr>
          <w:rFonts w:eastAsia="Calibri"/>
          <w:szCs w:val="24"/>
        </w:rPr>
        <w:t xml:space="preserve">2002 г. </w:t>
      </w:r>
      <w:r w:rsidR="00565F33">
        <w:rPr>
          <w:rFonts w:eastAsia="Calibri"/>
          <w:szCs w:val="24"/>
        </w:rPr>
        <w:t>Российским экологическим федеральным информационным агентством (</w:t>
      </w:r>
      <w:r>
        <w:rPr>
          <w:rFonts w:eastAsia="Calibri"/>
          <w:szCs w:val="24"/>
        </w:rPr>
        <w:t>РЭФИА</w:t>
      </w:r>
      <w:r w:rsidR="00565F33">
        <w:rPr>
          <w:rFonts w:eastAsia="Calibri"/>
          <w:szCs w:val="24"/>
        </w:rPr>
        <w:t>)</w:t>
      </w:r>
      <w:r>
        <w:rPr>
          <w:rFonts w:eastAsia="Calibri"/>
          <w:szCs w:val="24"/>
        </w:rPr>
        <w:t xml:space="preserve"> и </w:t>
      </w:r>
      <w:r w:rsidR="00565F33">
        <w:rPr>
          <w:rFonts w:eastAsia="Calibri"/>
          <w:szCs w:val="24"/>
        </w:rPr>
        <w:t>Институтом социально-политических исследований РАН (</w:t>
      </w:r>
      <w:r>
        <w:rPr>
          <w:rFonts w:eastAsia="Calibri"/>
          <w:szCs w:val="24"/>
        </w:rPr>
        <w:t>ИСПИ РАН</w:t>
      </w:r>
      <w:r w:rsidR="00565F33">
        <w:rPr>
          <w:rFonts w:eastAsia="Calibri"/>
          <w:szCs w:val="24"/>
        </w:rPr>
        <w:t>)</w:t>
      </w:r>
      <w:r>
        <w:rPr>
          <w:rFonts w:eastAsia="Calibri"/>
          <w:szCs w:val="24"/>
        </w:rPr>
        <w:t>,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так и эмпирические данные, полученные в последние годы службой Специальной связи и информации ФСО России на постоянной основе осуществляющей мониторинг общественного мнения о социально-экономических и общественно-политических проблемах Российской </w:t>
      </w:r>
      <w:r>
        <w:rPr>
          <w:rFonts w:eastAsia="Calibri"/>
          <w:szCs w:val="24"/>
        </w:rPr>
        <w:lastRenderedPageBreak/>
        <w:t>Федерации (</w:t>
      </w:r>
      <w:r w:rsidRPr="00565F33">
        <w:rPr>
          <w:rFonts w:eastAsia="Calibri"/>
          <w:i/>
          <w:szCs w:val="24"/>
        </w:rPr>
        <w:t>табл. 1</w:t>
      </w:r>
      <w:r>
        <w:rPr>
          <w:rFonts w:eastAsia="Calibri"/>
          <w:szCs w:val="24"/>
        </w:rPr>
        <w:t>).</w:t>
      </w:r>
      <w:proofErr w:type="gramEnd"/>
    </w:p>
    <w:p w:rsidR="00CE6F73" w:rsidRPr="00565F33" w:rsidRDefault="00416772" w:rsidP="00565F33">
      <w:pPr>
        <w:ind w:firstLine="567"/>
        <w:jc w:val="right"/>
      </w:pPr>
      <w:r w:rsidRPr="00565F33">
        <w:rPr>
          <w:rFonts w:eastAsia="Calibri"/>
          <w:szCs w:val="24"/>
        </w:rPr>
        <w:t>Таблица 1</w:t>
      </w:r>
    </w:p>
    <w:p w:rsidR="00CE6F73" w:rsidRDefault="00416772" w:rsidP="001135DA">
      <w:pPr>
        <w:ind w:firstLine="567"/>
        <w:jc w:val="center"/>
      </w:pPr>
      <w:r>
        <w:rPr>
          <w:rFonts w:eastAsia="Calibri"/>
          <w:b/>
          <w:szCs w:val="24"/>
        </w:rPr>
        <w:t>Оценк</w:t>
      </w:r>
      <w:r w:rsidR="00565F33">
        <w:rPr>
          <w:rFonts w:eastAsia="Calibri"/>
          <w:b/>
          <w:szCs w:val="24"/>
        </w:rPr>
        <w:t>а</w:t>
      </w:r>
      <w:r>
        <w:rPr>
          <w:rFonts w:eastAsia="Calibri"/>
          <w:b/>
          <w:szCs w:val="24"/>
        </w:rPr>
        <w:t xml:space="preserve"> экологической ситуации в России населением и экспертами</w:t>
      </w:r>
      <w:r w:rsidR="00565F33">
        <w:rPr>
          <w:rFonts w:eastAsia="Calibri"/>
          <w:b/>
          <w:szCs w:val="24"/>
        </w:rPr>
        <w:t>,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i/>
          <w:szCs w:val="24"/>
        </w:rPr>
        <w:t xml:space="preserve">в % от числа </w:t>
      </w:r>
      <w:proofErr w:type="gramStart"/>
      <w:r>
        <w:rPr>
          <w:rFonts w:eastAsia="Calibri"/>
          <w:i/>
          <w:szCs w:val="24"/>
        </w:rPr>
        <w:t>опрошенных</w:t>
      </w:r>
      <w:proofErr w:type="gramEnd"/>
    </w:p>
    <w:tbl>
      <w:tblPr>
        <w:tblW w:w="964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851"/>
        <w:gridCol w:w="797"/>
        <w:gridCol w:w="977"/>
        <w:gridCol w:w="941"/>
        <w:gridCol w:w="1010"/>
      </w:tblGrid>
      <w:tr w:rsidR="00CE6F73" w:rsidRPr="00565F33" w:rsidTr="004E55E1">
        <w:trPr>
          <w:jc w:val="center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565F33" w:rsidRDefault="00565F33" w:rsidP="00565F33">
            <w:pPr>
              <w:ind w:firstLine="0"/>
              <w:jc w:val="center"/>
              <w:rPr>
                <w:i/>
                <w:sz w:val="22"/>
                <w:szCs w:val="24"/>
              </w:rPr>
            </w:pPr>
            <w:r w:rsidRPr="00565F33">
              <w:rPr>
                <w:i/>
                <w:sz w:val="22"/>
                <w:szCs w:val="24"/>
              </w:rPr>
              <w:t>Оценка ситуации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565F33" w:rsidRDefault="00416772" w:rsidP="00565F33">
            <w:pPr>
              <w:ind w:firstLine="0"/>
              <w:jc w:val="center"/>
              <w:rPr>
                <w:i/>
                <w:sz w:val="22"/>
              </w:rPr>
            </w:pPr>
            <w:r w:rsidRPr="00565F33">
              <w:rPr>
                <w:rFonts w:eastAsia="Calibri"/>
                <w:i/>
                <w:sz w:val="22"/>
                <w:szCs w:val="24"/>
              </w:rPr>
              <w:t>2001</w:t>
            </w:r>
            <w:r w:rsidR="004E55E1">
              <w:rPr>
                <w:rFonts w:eastAsia="Calibri"/>
                <w:i/>
                <w:sz w:val="22"/>
                <w:szCs w:val="24"/>
              </w:rPr>
              <w:t xml:space="preserve"> г.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F73" w:rsidRPr="00565F33" w:rsidRDefault="00416772" w:rsidP="00565F33">
            <w:pPr>
              <w:ind w:firstLine="0"/>
              <w:jc w:val="center"/>
              <w:rPr>
                <w:i/>
                <w:sz w:val="22"/>
              </w:rPr>
            </w:pPr>
            <w:r w:rsidRPr="00565F33">
              <w:rPr>
                <w:rFonts w:eastAsia="Calibri"/>
                <w:i/>
                <w:sz w:val="22"/>
                <w:szCs w:val="24"/>
              </w:rPr>
              <w:t>2014</w:t>
            </w:r>
            <w:r w:rsidR="004E55E1">
              <w:rPr>
                <w:rFonts w:eastAsia="Calibri"/>
                <w:i/>
                <w:sz w:val="22"/>
                <w:szCs w:val="24"/>
              </w:rPr>
              <w:t xml:space="preserve"> г.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565F33" w:rsidRDefault="00416772" w:rsidP="00565F33">
            <w:pPr>
              <w:ind w:firstLine="0"/>
              <w:jc w:val="center"/>
              <w:rPr>
                <w:i/>
                <w:sz w:val="22"/>
              </w:rPr>
            </w:pPr>
            <w:r w:rsidRPr="00565F33">
              <w:rPr>
                <w:rFonts w:eastAsia="Calibri"/>
                <w:i/>
                <w:sz w:val="22"/>
                <w:szCs w:val="24"/>
              </w:rPr>
              <w:t>2015</w:t>
            </w:r>
            <w:r w:rsidR="004E55E1">
              <w:rPr>
                <w:rFonts w:eastAsia="Calibri"/>
                <w:i/>
                <w:sz w:val="22"/>
                <w:szCs w:val="24"/>
              </w:rPr>
              <w:t xml:space="preserve"> г.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565F33" w:rsidRDefault="00416772" w:rsidP="00565F33">
            <w:pPr>
              <w:ind w:firstLine="0"/>
              <w:jc w:val="center"/>
              <w:rPr>
                <w:i/>
                <w:sz w:val="22"/>
              </w:rPr>
            </w:pPr>
            <w:r w:rsidRPr="00565F33">
              <w:rPr>
                <w:rFonts w:eastAsia="Calibri"/>
                <w:i/>
                <w:sz w:val="22"/>
                <w:szCs w:val="24"/>
              </w:rPr>
              <w:t>2016</w:t>
            </w:r>
            <w:r w:rsidR="004E55E1">
              <w:rPr>
                <w:rFonts w:eastAsia="Calibri"/>
                <w:i/>
                <w:sz w:val="22"/>
                <w:szCs w:val="24"/>
              </w:rPr>
              <w:t xml:space="preserve"> г.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565F33" w:rsidRDefault="00416772" w:rsidP="00565F33">
            <w:pPr>
              <w:ind w:firstLine="0"/>
              <w:jc w:val="center"/>
              <w:rPr>
                <w:i/>
                <w:sz w:val="22"/>
              </w:rPr>
            </w:pPr>
            <w:r w:rsidRPr="00565F33">
              <w:rPr>
                <w:rFonts w:eastAsia="Calibri"/>
                <w:i/>
                <w:sz w:val="22"/>
                <w:szCs w:val="24"/>
              </w:rPr>
              <w:t>2019</w:t>
            </w:r>
            <w:r w:rsidR="004E55E1">
              <w:rPr>
                <w:rFonts w:eastAsia="Calibri"/>
                <w:i/>
                <w:sz w:val="22"/>
                <w:szCs w:val="24"/>
              </w:rPr>
              <w:t xml:space="preserve"> г.</w:t>
            </w:r>
          </w:p>
        </w:tc>
      </w:tr>
      <w:tr w:rsidR="00CE6F73" w:rsidRPr="00565F33" w:rsidTr="004E55E1">
        <w:trPr>
          <w:jc w:val="center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565F33" w:rsidRDefault="00416772" w:rsidP="00565F33">
            <w:pPr>
              <w:ind w:firstLine="0"/>
              <w:jc w:val="left"/>
              <w:rPr>
                <w:sz w:val="22"/>
              </w:rPr>
            </w:pPr>
            <w:r w:rsidRPr="00565F33">
              <w:rPr>
                <w:rFonts w:eastAsia="Calibri"/>
                <w:sz w:val="22"/>
                <w:szCs w:val="24"/>
              </w:rPr>
              <w:t>Доля участников экспертных опросов, считающих экологическую ситуацию в России неблагополучной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73" w:rsidRPr="00565F33" w:rsidRDefault="00416772" w:rsidP="00565F33">
            <w:pPr>
              <w:ind w:firstLine="0"/>
              <w:jc w:val="center"/>
              <w:rPr>
                <w:sz w:val="22"/>
              </w:rPr>
            </w:pPr>
            <w:r w:rsidRPr="00565F33">
              <w:rPr>
                <w:rFonts w:eastAsia="Calibri"/>
                <w:sz w:val="22"/>
                <w:szCs w:val="24"/>
              </w:rPr>
              <w:t>82-88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6F73" w:rsidRPr="00565F33" w:rsidRDefault="00416772" w:rsidP="00565F33">
            <w:pPr>
              <w:ind w:firstLine="0"/>
              <w:jc w:val="center"/>
              <w:rPr>
                <w:sz w:val="22"/>
              </w:rPr>
            </w:pPr>
            <w:r w:rsidRPr="00565F33">
              <w:rPr>
                <w:rFonts w:eastAsia="Calibri"/>
                <w:sz w:val="22"/>
                <w:szCs w:val="24"/>
              </w:rPr>
              <w:t>82-88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73" w:rsidRPr="00565F33" w:rsidRDefault="00416772" w:rsidP="00565F33">
            <w:pPr>
              <w:ind w:firstLine="0"/>
              <w:jc w:val="center"/>
              <w:rPr>
                <w:sz w:val="22"/>
              </w:rPr>
            </w:pPr>
            <w:r w:rsidRPr="00565F33">
              <w:rPr>
                <w:rFonts w:eastAsia="Calibri"/>
                <w:sz w:val="22"/>
                <w:szCs w:val="24"/>
              </w:rPr>
              <w:t>87-90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73" w:rsidRPr="00565F33" w:rsidRDefault="00416772" w:rsidP="00565F33">
            <w:pPr>
              <w:ind w:firstLine="0"/>
              <w:jc w:val="center"/>
              <w:rPr>
                <w:sz w:val="22"/>
              </w:rPr>
            </w:pPr>
            <w:r w:rsidRPr="00565F33">
              <w:rPr>
                <w:rFonts w:eastAsia="Calibri"/>
                <w:sz w:val="22"/>
                <w:szCs w:val="24"/>
              </w:rPr>
              <w:t>90-93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73" w:rsidRPr="00565F33" w:rsidRDefault="00416772" w:rsidP="00565F33">
            <w:pPr>
              <w:ind w:firstLine="0"/>
              <w:jc w:val="center"/>
              <w:rPr>
                <w:sz w:val="22"/>
                <w:szCs w:val="24"/>
              </w:rPr>
            </w:pPr>
            <w:r w:rsidRPr="00565F33">
              <w:rPr>
                <w:sz w:val="22"/>
                <w:szCs w:val="24"/>
              </w:rPr>
              <w:t>93-94</w:t>
            </w:r>
          </w:p>
        </w:tc>
      </w:tr>
      <w:tr w:rsidR="00CE6F73" w:rsidRPr="00565F33" w:rsidTr="004E55E1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565F33" w:rsidRDefault="00416772" w:rsidP="00565F33">
            <w:pPr>
              <w:ind w:firstLine="0"/>
              <w:jc w:val="left"/>
              <w:rPr>
                <w:sz w:val="22"/>
              </w:rPr>
            </w:pPr>
            <w:r w:rsidRPr="00565F33">
              <w:rPr>
                <w:rFonts w:eastAsia="Calibri"/>
                <w:sz w:val="22"/>
                <w:szCs w:val="24"/>
              </w:rPr>
              <w:t>Доля участников массовых опросов, обеспокоенных состоянием экологической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73" w:rsidRPr="00565F33" w:rsidRDefault="00416772" w:rsidP="00565F33">
            <w:pPr>
              <w:ind w:firstLine="0"/>
              <w:jc w:val="center"/>
              <w:rPr>
                <w:sz w:val="22"/>
              </w:rPr>
            </w:pPr>
            <w:r w:rsidRPr="00565F33">
              <w:rPr>
                <w:rFonts w:eastAsia="Calibri"/>
                <w:sz w:val="22"/>
                <w:szCs w:val="24"/>
              </w:rPr>
              <w:t>59-67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6F73" w:rsidRPr="00565F33" w:rsidRDefault="00416772" w:rsidP="00565F33">
            <w:pPr>
              <w:ind w:firstLine="0"/>
              <w:jc w:val="center"/>
              <w:rPr>
                <w:sz w:val="22"/>
              </w:rPr>
            </w:pPr>
            <w:r w:rsidRPr="00565F33">
              <w:rPr>
                <w:rFonts w:eastAsia="Calibri"/>
                <w:sz w:val="22"/>
                <w:szCs w:val="24"/>
              </w:rPr>
              <w:t>63-72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73" w:rsidRPr="00565F33" w:rsidRDefault="00416772" w:rsidP="00565F33">
            <w:pPr>
              <w:ind w:firstLine="0"/>
              <w:jc w:val="center"/>
              <w:rPr>
                <w:sz w:val="22"/>
              </w:rPr>
            </w:pPr>
            <w:r w:rsidRPr="00565F33">
              <w:rPr>
                <w:rFonts w:eastAsia="Calibri"/>
                <w:sz w:val="22"/>
                <w:szCs w:val="24"/>
              </w:rPr>
              <w:t>65-74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73" w:rsidRPr="00565F33" w:rsidRDefault="00416772" w:rsidP="00565F33">
            <w:pPr>
              <w:ind w:firstLine="0"/>
              <w:jc w:val="center"/>
              <w:rPr>
                <w:sz w:val="22"/>
              </w:rPr>
            </w:pPr>
            <w:r w:rsidRPr="00565F33">
              <w:rPr>
                <w:rFonts w:eastAsia="Calibri"/>
                <w:sz w:val="22"/>
                <w:szCs w:val="24"/>
              </w:rPr>
              <w:t>65-75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73" w:rsidRPr="00565F33" w:rsidRDefault="00416772" w:rsidP="00565F33">
            <w:pPr>
              <w:ind w:firstLine="0"/>
              <w:jc w:val="center"/>
              <w:rPr>
                <w:sz w:val="22"/>
                <w:szCs w:val="24"/>
              </w:rPr>
            </w:pPr>
            <w:r w:rsidRPr="00565F33">
              <w:rPr>
                <w:sz w:val="22"/>
                <w:szCs w:val="24"/>
              </w:rPr>
              <w:t>75-78</w:t>
            </w:r>
          </w:p>
        </w:tc>
      </w:tr>
      <w:tr w:rsidR="00CE6F73" w:rsidRPr="00565F33" w:rsidTr="004E55E1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565F33" w:rsidRDefault="00416772" w:rsidP="00565F33">
            <w:pPr>
              <w:ind w:firstLine="0"/>
              <w:jc w:val="left"/>
              <w:rPr>
                <w:sz w:val="22"/>
              </w:rPr>
            </w:pPr>
            <w:r w:rsidRPr="00565F33">
              <w:rPr>
                <w:rFonts w:eastAsia="Calibri"/>
                <w:sz w:val="22"/>
                <w:szCs w:val="24"/>
              </w:rPr>
              <w:t>Доля участников массовых опросов, отмечающих наличие существенной связи экологической ситуации и социальной напряженности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73" w:rsidRPr="00565F33" w:rsidRDefault="00416772" w:rsidP="00565F33">
            <w:pPr>
              <w:ind w:firstLine="0"/>
              <w:jc w:val="center"/>
              <w:rPr>
                <w:sz w:val="22"/>
              </w:rPr>
            </w:pPr>
            <w:r w:rsidRPr="00565F33">
              <w:rPr>
                <w:rFonts w:eastAsia="Calibri"/>
                <w:sz w:val="22"/>
                <w:szCs w:val="24"/>
              </w:rPr>
              <w:t>55-66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6F73" w:rsidRPr="00565F33" w:rsidRDefault="00416772" w:rsidP="00565F33">
            <w:pPr>
              <w:ind w:firstLine="0"/>
              <w:jc w:val="center"/>
              <w:rPr>
                <w:sz w:val="22"/>
              </w:rPr>
            </w:pPr>
            <w:r w:rsidRPr="00565F33">
              <w:rPr>
                <w:rFonts w:eastAsia="Calibri"/>
                <w:sz w:val="22"/>
                <w:szCs w:val="24"/>
              </w:rPr>
              <w:t>62-65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73" w:rsidRPr="00565F33" w:rsidRDefault="00416772" w:rsidP="00565F33">
            <w:pPr>
              <w:ind w:firstLine="0"/>
              <w:jc w:val="center"/>
              <w:rPr>
                <w:sz w:val="22"/>
              </w:rPr>
            </w:pPr>
            <w:r w:rsidRPr="00565F33">
              <w:rPr>
                <w:rFonts w:eastAsia="Calibri"/>
                <w:sz w:val="22"/>
                <w:szCs w:val="24"/>
              </w:rPr>
              <w:t>65-67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73" w:rsidRPr="00565F33" w:rsidRDefault="00416772" w:rsidP="00565F33">
            <w:pPr>
              <w:ind w:firstLine="0"/>
              <w:jc w:val="center"/>
              <w:rPr>
                <w:sz w:val="22"/>
              </w:rPr>
            </w:pPr>
            <w:r w:rsidRPr="00565F33">
              <w:rPr>
                <w:rFonts w:eastAsia="Calibri"/>
                <w:sz w:val="22"/>
                <w:szCs w:val="24"/>
              </w:rPr>
              <w:t>67-70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73" w:rsidRPr="00565F33" w:rsidRDefault="00416772" w:rsidP="00565F33">
            <w:pPr>
              <w:ind w:firstLine="0"/>
              <w:jc w:val="center"/>
              <w:rPr>
                <w:sz w:val="22"/>
                <w:szCs w:val="24"/>
              </w:rPr>
            </w:pPr>
            <w:r w:rsidRPr="00565F33">
              <w:rPr>
                <w:sz w:val="22"/>
                <w:szCs w:val="24"/>
              </w:rPr>
              <w:t>70-72</w:t>
            </w:r>
          </w:p>
        </w:tc>
      </w:tr>
    </w:tbl>
    <w:p w:rsidR="001135DA" w:rsidRDefault="001135DA" w:rsidP="001135DA">
      <w:pPr>
        <w:ind w:firstLine="567"/>
        <w:rPr>
          <w:rFonts w:eastAsia="Calibri"/>
          <w:szCs w:val="24"/>
        </w:rPr>
      </w:pPr>
    </w:p>
    <w:p w:rsidR="00CE6F73" w:rsidRDefault="00416772" w:rsidP="001135DA">
      <w:pPr>
        <w:ind w:firstLine="567"/>
      </w:pPr>
      <w:proofErr w:type="gramStart"/>
      <w:r>
        <w:rPr>
          <w:rFonts w:eastAsia="Calibri"/>
          <w:szCs w:val="24"/>
        </w:rPr>
        <w:t>При этом следует особо отметить, что даже в неблагоприятных экономических условиях, в которых находится сейчас Россия, на фоне снижения доходов населения - доля россиян, негативно оценивающих экологическую обстановку в регионе проживания и считающих экологическую проблемой, требующей первоочередного решения, несомненно остается как минимум значимой.</w:t>
      </w:r>
      <w:proofErr w:type="gramEnd"/>
      <w:r>
        <w:rPr>
          <w:rFonts w:eastAsia="Calibri"/>
          <w:szCs w:val="24"/>
        </w:rPr>
        <w:t xml:space="preserve"> </w:t>
      </w:r>
      <w:proofErr w:type="gramStart"/>
      <w:r>
        <w:rPr>
          <w:rFonts w:eastAsia="Calibri"/>
          <w:szCs w:val="24"/>
        </w:rPr>
        <w:t xml:space="preserve">В частности, по данным ФСО, в России отмечается лишь относительно небольшое снижение данного показателя: с 14,8% в ноябре 2014 г. до 11,8% в мае 2016 г. Однако по субъектам Российской Федерации эта доля заметно варьируется: от 1-2% в Алтайском крае, </w:t>
      </w:r>
      <w:r w:rsidR="004E55E1">
        <w:rPr>
          <w:rFonts w:eastAsia="Calibri"/>
          <w:szCs w:val="24"/>
        </w:rPr>
        <w:t>р</w:t>
      </w:r>
      <w:r>
        <w:rPr>
          <w:rFonts w:eastAsia="Calibri"/>
          <w:szCs w:val="24"/>
        </w:rPr>
        <w:t>еспубликах Мордовия и Хакасия, до 20-24% в Иркутской области, Москве и Республике Северная Осетия-Алания и до 26-36% в Челябинской и</w:t>
      </w:r>
      <w:proofErr w:type="gramEnd"/>
      <w:r>
        <w:rPr>
          <w:rFonts w:eastAsia="Calibri"/>
          <w:szCs w:val="24"/>
        </w:rPr>
        <w:t xml:space="preserve"> </w:t>
      </w:r>
      <w:proofErr w:type="gramStart"/>
      <w:r>
        <w:rPr>
          <w:rFonts w:eastAsia="Calibri"/>
          <w:szCs w:val="24"/>
        </w:rPr>
        <w:t>Свердловской</w:t>
      </w:r>
      <w:proofErr w:type="gramEnd"/>
      <w:r>
        <w:rPr>
          <w:rFonts w:eastAsia="Calibri"/>
          <w:szCs w:val="24"/>
        </w:rPr>
        <w:t xml:space="preserve"> областях и т.п.</w:t>
      </w:r>
      <w:r w:rsidR="000C2DA6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По данным исследований РОС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в 2017</w:t>
      </w:r>
      <w:r w:rsidR="004E55E1">
        <w:rPr>
          <w:rFonts w:eastAsia="Calibri"/>
          <w:szCs w:val="24"/>
        </w:rPr>
        <w:t xml:space="preserve"> г.</w:t>
      </w:r>
      <w:r>
        <w:rPr>
          <w:rFonts w:eastAsia="Calibri"/>
          <w:szCs w:val="24"/>
        </w:rPr>
        <w:t xml:space="preserve"> высок этот показатель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и в Приволжье.</w:t>
      </w:r>
      <w:r w:rsidR="000C2DA6">
        <w:rPr>
          <w:rFonts w:eastAsia="Calibri"/>
          <w:szCs w:val="24"/>
        </w:rPr>
        <w:t xml:space="preserve"> </w:t>
      </w:r>
      <w:proofErr w:type="gramStart"/>
      <w:r>
        <w:rPr>
          <w:rFonts w:eastAsia="Calibri"/>
          <w:szCs w:val="24"/>
        </w:rPr>
        <w:t xml:space="preserve">Наибольшую обеспокоенность экологической ситуацией в регионе проживания при этом продемонстрировали жители Иркутской области, наименьшую </w:t>
      </w:r>
      <w:r w:rsidR="004E55E1">
        <w:rPr>
          <w:rFonts w:eastAsia="Calibri"/>
          <w:szCs w:val="24"/>
        </w:rPr>
        <w:t>–</w:t>
      </w:r>
      <w:r>
        <w:rPr>
          <w:rFonts w:eastAsia="Calibri"/>
          <w:szCs w:val="24"/>
        </w:rPr>
        <w:t xml:space="preserve"> жители Ленинградской.</w:t>
      </w:r>
      <w:proofErr w:type="gramEnd"/>
      <w:r>
        <w:rPr>
          <w:rFonts w:eastAsia="Calibri"/>
          <w:szCs w:val="24"/>
        </w:rPr>
        <w:t xml:space="preserve"> В целом же население России больше всего беспокоит качество водных ресурсов и загрязненность атмосферного воздуха (40,8 и 40% опрошенных соответственно). Относительная приоритетность отдельных экологических </w:t>
      </w:r>
      <w:proofErr w:type="gramStart"/>
      <w:r>
        <w:rPr>
          <w:rFonts w:eastAsia="Calibri"/>
          <w:szCs w:val="24"/>
        </w:rPr>
        <w:t>проблем</w:t>
      </w:r>
      <w:proofErr w:type="gramEnd"/>
      <w:r>
        <w:rPr>
          <w:rFonts w:eastAsia="Calibri"/>
          <w:szCs w:val="24"/>
        </w:rPr>
        <w:t xml:space="preserve"> несомненно зависит от специфики региона, так, например, наиболее высокий уровень обеспокоенности населения, по данным ФСО, сейчас связан в Уральском федеральном округе с качеством водных ресурсов, в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Сибирском округе – с загрязненностью атмосферного воздуха</w:t>
      </w:r>
      <w:r w:rsidR="004E55E1">
        <w:rPr>
          <w:rFonts w:eastAsia="Calibri"/>
          <w:szCs w:val="24"/>
        </w:rPr>
        <w:t xml:space="preserve"> и</w:t>
      </w:r>
      <w:r w:rsidR="004E55E1" w:rsidRPr="004E55E1">
        <w:rPr>
          <w:rFonts w:eastAsia="Calibri"/>
          <w:szCs w:val="24"/>
        </w:rPr>
        <w:t xml:space="preserve"> </w:t>
      </w:r>
      <w:r w:rsidR="004E55E1">
        <w:rPr>
          <w:rFonts w:eastAsia="Calibri"/>
          <w:szCs w:val="24"/>
        </w:rPr>
        <w:t>с состоянием лесов</w:t>
      </w:r>
      <w:r>
        <w:rPr>
          <w:rFonts w:eastAsia="Calibri"/>
          <w:szCs w:val="24"/>
        </w:rPr>
        <w:t xml:space="preserve">, в Северо-Западном </w:t>
      </w:r>
      <w:r w:rsidR="004E55E1">
        <w:rPr>
          <w:rFonts w:eastAsia="Calibri"/>
          <w:szCs w:val="24"/>
        </w:rPr>
        <w:t>–</w:t>
      </w:r>
      <w:r>
        <w:rPr>
          <w:rFonts w:eastAsia="Calibri"/>
          <w:szCs w:val="24"/>
        </w:rPr>
        <w:t xml:space="preserve"> с накоплением отходов; в Приволжском –</w:t>
      </w:r>
      <w:r w:rsidR="000C2DA6">
        <w:rPr>
          <w:rFonts w:eastAsia="Calibri"/>
          <w:szCs w:val="24"/>
        </w:rPr>
        <w:t xml:space="preserve"> </w:t>
      </w:r>
      <w:r w:rsidR="004E55E1">
        <w:rPr>
          <w:rFonts w:eastAsia="Calibri"/>
          <w:szCs w:val="24"/>
        </w:rPr>
        <w:t xml:space="preserve">с состоянием реки Волга, </w:t>
      </w:r>
      <w:r>
        <w:rPr>
          <w:rFonts w:eastAsia="Calibri"/>
          <w:szCs w:val="24"/>
        </w:rPr>
        <w:t xml:space="preserve">в </w:t>
      </w:r>
      <w:proofErr w:type="gramStart"/>
      <w:r>
        <w:rPr>
          <w:rFonts w:eastAsia="Calibri"/>
          <w:szCs w:val="24"/>
        </w:rPr>
        <w:t>Дальневосточном</w:t>
      </w:r>
      <w:proofErr w:type="gramEnd"/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– с ростом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частоты опасных природных явлений (наводнения, засухи, лесные пожары) и т.д.</w:t>
      </w:r>
    </w:p>
    <w:p w:rsidR="00CE6F73" w:rsidRDefault="00416772" w:rsidP="001135DA">
      <w:pPr>
        <w:ind w:firstLine="567"/>
      </w:pPr>
      <w:r>
        <w:rPr>
          <w:rFonts w:eastAsia="Calibri"/>
          <w:szCs w:val="24"/>
        </w:rPr>
        <w:t>Разумеется, было бы некорректным делать какие-либо принципиальные выводы, абсолютизируя обеспокоенность респондентов только собственно экологической ситуацией, отвлекаясь от общего социального контекста. В данной связи интересны результаты эмпирических социологических исследований, подтверждающие, что экологическая ситуация реально находится в «фокусе» внимания современного общества (</w:t>
      </w:r>
      <w:r w:rsidRPr="004E55E1">
        <w:rPr>
          <w:rFonts w:eastAsia="Calibri"/>
          <w:i/>
          <w:szCs w:val="24"/>
        </w:rPr>
        <w:t>табл</w:t>
      </w:r>
      <w:r w:rsidR="004E55E1" w:rsidRPr="004E55E1">
        <w:rPr>
          <w:rFonts w:eastAsia="Calibri"/>
          <w:i/>
          <w:szCs w:val="24"/>
        </w:rPr>
        <w:t>.</w:t>
      </w:r>
      <w:r w:rsidRPr="004E55E1">
        <w:rPr>
          <w:rFonts w:eastAsia="Calibri"/>
          <w:i/>
          <w:szCs w:val="24"/>
        </w:rPr>
        <w:t xml:space="preserve"> 2</w:t>
      </w:r>
      <w:r>
        <w:rPr>
          <w:rFonts w:eastAsia="Calibri"/>
          <w:szCs w:val="24"/>
        </w:rPr>
        <w:t>).</w:t>
      </w:r>
    </w:p>
    <w:p w:rsidR="00CE6F73" w:rsidRDefault="00416772" w:rsidP="001135DA">
      <w:pPr>
        <w:ind w:firstLine="567"/>
        <w:jc w:val="right"/>
      </w:pPr>
      <w:r>
        <w:rPr>
          <w:rFonts w:eastAsia="Calibri"/>
          <w:i/>
          <w:szCs w:val="24"/>
        </w:rPr>
        <w:t>Таблица 2</w:t>
      </w:r>
    </w:p>
    <w:p w:rsidR="00CE6F73" w:rsidRPr="004E55E1" w:rsidRDefault="00416772" w:rsidP="004E55E1">
      <w:pPr>
        <w:jc w:val="center"/>
      </w:pPr>
      <w:r w:rsidRPr="004E55E1">
        <w:rPr>
          <w:rFonts w:eastAsia="Calibri"/>
          <w:b/>
        </w:rPr>
        <w:t>Оценка экспертами актуальности экологической проблемы при нынешней экономической ситуации в стране</w:t>
      </w:r>
      <w:r w:rsidRPr="004E55E1">
        <w:rPr>
          <w:rFonts w:eastAsia="Calibri"/>
        </w:rPr>
        <w:t xml:space="preserve"> </w:t>
      </w:r>
      <w:r w:rsidR="004E55E1" w:rsidRPr="004E55E1">
        <w:rPr>
          <w:rFonts w:eastAsia="Calibri"/>
          <w:i/>
        </w:rPr>
        <w:t xml:space="preserve">(по осредненным данным </w:t>
      </w:r>
      <w:proofErr w:type="spellStart"/>
      <w:r w:rsidR="004E55E1" w:rsidRPr="004E55E1">
        <w:rPr>
          <w:rFonts w:eastAsia="Calibri"/>
          <w:i/>
        </w:rPr>
        <w:t>НИА-</w:t>
      </w:r>
      <w:r w:rsidRPr="004E55E1">
        <w:rPr>
          <w:rFonts w:eastAsia="Calibri"/>
          <w:i/>
        </w:rPr>
        <w:t>Природа</w:t>
      </w:r>
      <w:proofErr w:type="spellEnd"/>
      <w:r w:rsidR="004E55E1" w:rsidRPr="004E55E1">
        <w:rPr>
          <w:rFonts w:eastAsia="Calibri"/>
          <w:i/>
        </w:rPr>
        <w:t xml:space="preserve">), в % от числа </w:t>
      </w:r>
      <w:proofErr w:type="gramStart"/>
      <w:r w:rsidR="004E55E1" w:rsidRPr="004E55E1">
        <w:rPr>
          <w:rFonts w:eastAsia="Calibri"/>
          <w:i/>
        </w:rPr>
        <w:t>опрошенных</w:t>
      </w:r>
      <w:proofErr w:type="gramEnd"/>
    </w:p>
    <w:tbl>
      <w:tblPr>
        <w:tblW w:w="99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7"/>
        <w:gridCol w:w="566"/>
        <w:gridCol w:w="572"/>
        <w:gridCol w:w="565"/>
        <w:gridCol w:w="538"/>
        <w:gridCol w:w="538"/>
        <w:gridCol w:w="619"/>
        <w:gridCol w:w="538"/>
        <w:gridCol w:w="538"/>
        <w:gridCol w:w="477"/>
        <w:gridCol w:w="538"/>
        <w:gridCol w:w="494"/>
        <w:gridCol w:w="447"/>
        <w:gridCol w:w="503"/>
        <w:gridCol w:w="503"/>
        <w:gridCol w:w="504"/>
        <w:gridCol w:w="76"/>
      </w:tblGrid>
      <w:tr w:rsidR="004E55E1" w:rsidRPr="00490307" w:rsidTr="00490307">
        <w:tc>
          <w:tcPr>
            <w:tcW w:w="19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r w:rsidRPr="00490307">
              <w:rPr>
                <w:rFonts w:eastAsia="Calibri"/>
                <w:i/>
                <w:sz w:val="22"/>
              </w:rPr>
              <w:t>Характер проблемы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r w:rsidRPr="00490307">
              <w:rPr>
                <w:rFonts w:eastAsia="Calibri"/>
                <w:i/>
                <w:sz w:val="22"/>
              </w:rPr>
              <w:t>Москва</w:t>
            </w:r>
          </w:p>
        </w:tc>
        <w:tc>
          <w:tcPr>
            <w:tcW w:w="1695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r w:rsidRPr="00490307">
              <w:rPr>
                <w:rFonts w:eastAsia="Calibri"/>
                <w:i/>
                <w:sz w:val="22"/>
              </w:rPr>
              <w:t>Мордовия</w:t>
            </w:r>
          </w:p>
        </w:tc>
        <w:tc>
          <w:tcPr>
            <w:tcW w:w="1553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r w:rsidRPr="00490307">
              <w:rPr>
                <w:rFonts w:eastAsia="Calibri"/>
                <w:i/>
                <w:sz w:val="22"/>
              </w:rPr>
              <w:t>Северная Осетия</w:t>
            </w:r>
          </w:p>
        </w:tc>
        <w:tc>
          <w:tcPr>
            <w:tcW w:w="147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r w:rsidRPr="00490307">
              <w:rPr>
                <w:rFonts w:eastAsia="Calibri"/>
                <w:i/>
                <w:sz w:val="22"/>
              </w:rPr>
              <w:t>Ингушетия</w:t>
            </w:r>
          </w:p>
        </w:tc>
        <w:tc>
          <w:tcPr>
            <w:tcW w:w="151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r w:rsidRPr="00490307">
              <w:rPr>
                <w:rFonts w:eastAsia="Calibri"/>
                <w:i/>
                <w:sz w:val="22"/>
              </w:rPr>
              <w:t>Ярославская область</w:t>
            </w:r>
          </w:p>
        </w:tc>
        <w:tc>
          <w:tcPr>
            <w:tcW w:w="76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</w:p>
        </w:tc>
      </w:tr>
      <w:tr w:rsidR="004E55E1" w:rsidRPr="00490307" w:rsidTr="00490307">
        <w:trPr>
          <w:gridAfter w:val="1"/>
          <w:wAfter w:w="76" w:type="dxa"/>
        </w:trPr>
        <w:tc>
          <w:tcPr>
            <w:tcW w:w="19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r w:rsidRPr="00490307">
              <w:rPr>
                <w:rFonts w:eastAsia="Calibri"/>
                <w:i/>
                <w:sz w:val="22"/>
              </w:rPr>
              <w:t>Рос*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proofErr w:type="gramStart"/>
            <w:r w:rsidRPr="00490307">
              <w:rPr>
                <w:rFonts w:eastAsia="Calibri"/>
                <w:i/>
                <w:sz w:val="22"/>
              </w:rPr>
              <w:t>П</w:t>
            </w:r>
            <w:proofErr w:type="gramEnd"/>
            <w:r w:rsidRPr="00490307">
              <w:rPr>
                <w:rFonts w:eastAsia="Calibri"/>
                <w:i/>
                <w:sz w:val="22"/>
              </w:rPr>
              <w:t>/</w:t>
            </w:r>
            <w:proofErr w:type="spellStart"/>
            <w:r w:rsidRPr="00490307">
              <w:rPr>
                <w:rFonts w:eastAsia="Calibri"/>
                <w:i/>
                <w:sz w:val="22"/>
              </w:rPr>
              <w:t>р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r w:rsidRPr="00490307">
              <w:rPr>
                <w:rFonts w:eastAsia="Calibri"/>
                <w:i/>
                <w:sz w:val="22"/>
              </w:rPr>
              <w:t>С/</w:t>
            </w:r>
            <w:proofErr w:type="spellStart"/>
            <w:proofErr w:type="gramStart"/>
            <w:r w:rsidRPr="00490307">
              <w:rPr>
                <w:rFonts w:eastAsia="Calibri"/>
                <w:i/>
                <w:sz w:val="22"/>
              </w:rPr>
              <w:t>р</w:t>
            </w:r>
            <w:proofErr w:type="spellEnd"/>
            <w:proofErr w:type="gram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r w:rsidRPr="00490307">
              <w:rPr>
                <w:rFonts w:eastAsia="Calibri"/>
                <w:i/>
                <w:sz w:val="22"/>
              </w:rPr>
              <w:t>Рос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proofErr w:type="gramStart"/>
            <w:r w:rsidRPr="00490307">
              <w:rPr>
                <w:rFonts w:eastAsia="Calibri"/>
                <w:i/>
                <w:sz w:val="22"/>
              </w:rPr>
              <w:t>П</w:t>
            </w:r>
            <w:proofErr w:type="gramEnd"/>
            <w:r w:rsidRPr="00490307">
              <w:rPr>
                <w:rFonts w:eastAsia="Calibri"/>
                <w:i/>
                <w:sz w:val="22"/>
              </w:rPr>
              <w:t>/</w:t>
            </w:r>
            <w:proofErr w:type="spellStart"/>
            <w:r w:rsidRPr="00490307">
              <w:rPr>
                <w:rFonts w:eastAsia="Calibri"/>
                <w:i/>
                <w:sz w:val="22"/>
              </w:rPr>
              <w:t>р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r w:rsidRPr="00490307">
              <w:rPr>
                <w:rFonts w:eastAsia="Calibri"/>
                <w:i/>
                <w:sz w:val="22"/>
              </w:rPr>
              <w:t>С/</w:t>
            </w:r>
            <w:proofErr w:type="spellStart"/>
            <w:proofErr w:type="gramStart"/>
            <w:r w:rsidRPr="00490307">
              <w:rPr>
                <w:rFonts w:eastAsia="Calibri"/>
                <w:i/>
                <w:sz w:val="22"/>
              </w:rPr>
              <w:t>р</w:t>
            </w:r>
            <w:proofErr w:type="spellEnd"/>
            <w:proofErr w:type="gram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r w:rsidRPr="00490307">
              <w:rPr>
                <w:rFonts w:eastAsia="Calibri"/>
                <w:i/>
                <w:sz w:val="22"/>
              </w:rPr>
              <w:t>Рос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proofErr w:type="gramStart"/>
            <w:r w:rsidRPr="00490307">
              <w:rPr>
                <w:rFonts w:eastAsia="Calibri"/>
                <w:i/>
                <w:sz w:val="22"/>
              </w:rPr>
              <w:t>П</w:t>
            </w:r>
            <w:proofErr w:type="gramEnd"/>
            <w:r w:rsidRPr="00490307">
              <w:rPr>
                <w:rFonts w:eastAsia="Calibri"/>
                <w:i/>
                <w:sz w:val="22"/>
              </w:rPr>
              <w:t>/</w:t>
            </w:r>
            <w:proofErr w:type="spellStart"/>
            <w:r w:rsidRPr="00490307">
              <w:rPr>
                <w:rFonts w:eastAsia="Calibri"/>
                <w:i/>
                <w:sz w:val="22"/>
              </w:rPr>
              <w:t>р</w:t>
            </w:r>
            <w:proofErr w:type="spellEnd"/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r w:rsidRPr="00490307">
              <w:rPr>
                <w:rFonts w:eastAsia="Calibri"/>
                <w:i/>
                <w:sz w:val="22"/>
              </w:rPr>
              <w:t>С/</w:t>
            </w:r>
            <w:proofErr w:type="spellStart"/>
            <w:proofErr w:type="gramStart"/>
            <w:r w:rsidRPr="00490307">
              <w:rPr>
                <w:rFonts w:eastAsia="Calibri"/>
                <w:i/>
                <w:sz w:val="22"/>
              </w:rPr>
              <w:t>р</w:t>
            </w:r>
            <w:proofErr w:type="spellEnd"/>
            <w:proofErr w:type="gram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r w:rsidRPr="00490307">
              <w:rPr>
                <w:rFonts w:eastAsia="Calibri"/>
                <w:i/>
                <w:sz w:val="22"/>
              </w:rPr>
              <w:t>Рос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proofErr w:type="gramStart"/>
            <w:r w:rsidRPr="00490307">
              <w:rPr>
                <w:rFonts w:eastAsia="Calibri"/>
                <w:i/>
                <w:sz w:val="22"/>
              </w:rPr>
              <w:t>П</w:t>
            </w:r>
            <w:proofErr w:type="gramEnd"/>
            <w:r w:rsidRPr="00490307">
              <w:rPr>
                <w:rFonts w:eastAsia="Calibri"/>
                <w:i/>
                <w:sz w:val="22"/>
              </w:rPr>
              <w:t>/</w:t>
            </w:r>
            <w:proofErr w:type="spellStart"/>
            <w:r w:rsidRPr="00490307">
              <w:rPr>
                <w:rFonts w:eastAsia="Calibri"/>
                <w:i/>
                <w:sz w:val="22"/>
              </w:rPr>
              <w:t>р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r w:rsidRPr="00490307">
              <w:rPr>
                <w:rFonts w:eastAsia="Calibri"/>
                <w:i/>
                <w:sz w:val="22"/>
              </w:rPr>
              <w:t>С/</w:t>
            </w:r>
            <w:proofErr w:type="spellStart"/>
            <w:proofErr w:type="gramStart"/>
            <w:r w:rsidRPr="00490307">
              <w:rPr>
                <w:rFonts w:eastAsia="Calibri"/>
                <w:i/>
                <w:sz w:val="22"/>
              </w:rPr>
              <w:t>р</w:t>
            </w:r>
            <w:proofErr w:type="spellEnd"/>
            <w:proofErr w:type="gram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r w:rsidRPr="00490307">
              <w:rPr>
                <w:rFonts w:eastAsia="Calibri"/>
                <w:i/>
                <w:sz w:val="22"/>
              </w:rPr>
              <w:t>Рос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proofErr w:type="gramStart"/>
            <w:r w:rsidRPr="00490307">
              <w:rPr>
                <w:rFonts w:eastAsia="Calibri"/>
                <w:i/>
                <w:sz w:val="22"/>
              </w:rPr>
              <w:t>П</w:t>
            </w:r>
            <w:proofErr w:type="gramEnd"/>
            <w:r w:rsidRPr="00490307">
              <w:rPr>
                <w:rFonts w:eastAsia="Calibri"/>
                <w:i/>
                <w:sz w:val="22"/>
              </w:rPr>
              <w:t>/</w:t>
            </w:r>
            <w:proofErr w:type="spellStart"/>
            <w:r w:rsidRPr="00490307">
              <w:rPr>
                <w:rFonts w:eastAsia="Calibri"/>
                <w:i/>
                <w:sz w:val="22"/>
              </w:rPr>
              <w:t>р</w:t>
            </w:r>
            <w:proofErr w:type="spellEnd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55E1" w:rsidRPr="00490307" w:rsidRDefault="004E55E1" w:rsidP="00490307">
            <w:pPr>
              <w:ind w:firstLine="0"/>
              <w:jc w:val="center"/>
              <w:rPr>
                <w:i/>
                <w:sz w:val="22"/>
              </w:rPr>
            </w:pPr>
            <w:r w:rsidRPr="00490307">
              <w:rPr>
                <w:rFonts w:eastAsia="Calibri"/>
                <w:i/>
                <w:sz w:val="22"/>
              </w:rPr>
              <w:t>С/</w:t>
            </w:r>
            <w:proofErr w:type="spellStart"/>
            <w:proofErr w:type="gramStart"/>
            <w:r w:rsidRPr="00490307">
              <w:rPr>
                <w:rFonts w:eastAsia="Calibri"/>
                <w:i/>
                <w:sz w:val="22"/>
              </w:rPr>
              <w:t>р</w:t>
            </w:r>
            <w:proofErr w:type="spellEnd"/>
            <w:proofErr w:type="gramEnd"/>
          </w:p>
        </w:tc>
      </w:tr>
      <w:tr w:rsidR="001135DA" w:rsidRPr="004E55E1" w:rsidTr="00490307">
        <w:trPr>
          <w:gridAfter w:val="1"/>
          <w:wAfter w:w="76" w:type="dxa"/>
        </w:trPr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6F73" w:rsidRPr="004E55E1" w:rsidRDefault="004E55E1" w:rsidP="004E55E1">
            <w:pPr>
              <w:ind w:firstLine="0"/>
              <w:rPr>
                <w:sz w:val="22"/>
              </w:rPr>
            </w:pPr>
            <w:r>
              <w:rPr>
                <w:rFonts w:eastAsia="Calibri"/>
                <w:sz w:val="22"/>
              </w:rPr>
              <w:t>Требует немедленного решения</w:t>
            </w:r>
            <w:r w:rsidR="00416772" w:rsidRPr="004E55E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6F73" w:rsidRPr="004E55E1" w:rsidRDefault="00416772" w:rsidP="00490307">
            <w:pPr>
              <w:ind w:firstLine="0"/>
              <w:jc w:val="center"/>
              <w:rPr>
                <w:sz w:val="22"/>
              </w:rPr>
            </w:pPr>
            <w:r w:rsidRPr="004E55E1">
              <w:rPr>
                <w:rFonts w:eastAsia="Calibri"/>
                <w:sz w:val="22"/>
              </w:rPr>
              <w:t>50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6F73" w:rsidRPr="004E55E1" w:rsidRDefault="00416772" w:rsidP="00490307">
            <w:pPr>
              <w:ind w:firstLine="0"/>
              <w:jc w:val="center"/>
              <w:rPr>
                <w:sz w:val="22"/>
              </w:rPr>
            </w:pPr>
            <w:r w:rsidRPr="004E55E1">
              <w:rPr>
                <w:rFonts w:eastAsia="Calibri"/>
                <w:sz w:val="22"/>
              </w:rPr>
              <w:t>38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6F73" w:rsidRPr="004E55E1" w:rsidRDefault="00416772" w:rsidP="00490307">
            <w:pPr>
              <w:ind w:firstLine="0"/>
              <w:jc w:val="center"/>
              <w:rPr>
                <w:sz w:val="22"/>
              </w:rPr>
            </w:pPr>
            <w:r w:rsidRPr="004E55E1">
              <w:rPr>
                <w:rFonts w:eastAsia="Calibri"/>
                <w:sz w:val="22"/>
              </w:rPr>
              <w:t>25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6F73" w:rsidRPr="004E55E1" w:rsidRDefault="00416772" w:rsidP="00490307">
            <w:pPr>
              <w:ind w:firstLine="0"/>
              <w:jc w:val="center"/>
              <w:rPr>
                <w:sz w:val="22"/>
              </w:rPr>
            </w:pPr>
            <w:r w:rsidRPr="004E55E1">
              <w:rPr>
                <w:rFonts w:eastAsia="Calibri"/>
                <w:sz w:val="22"/>
              </w:rPr>
              <w:t>41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6F73" w:rsidRPr="004E55E1" w:rsidRDefault="00416772" w:rsidP="00490307">
            <w:pPr>
              <w:ind w:firstLine="0"/>
              <w:jc w:val="center"/>
              <w:rPr>
                <w:sz w:val="22"/>
              </w:rPr>
            </w:pPr>
            <w:r w:rsidRPr="004E55E1">
              <w:rPr>
                <w:rFonts w:eastAsia="Calibri"/>
                <w:sz w:val="22"/>
              </w:rPr>
              <w:t>36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6F73" w:rsidRPr="004E55E1" w:rsidRDefault="00416772" w:rsidP="00490307">
            <w:pPr>
              <w:ind w:firstLine="0"/>
              <w:jc w:val="center"/>
              <w:rPr>
                <w:sz w:val="22"/>
              </w:rPr>
            </w:pPr>
            <w:r w:rsidRPr="004E55E1">
              <w:rPr>
                <w:rFonts w:eastAsia="Calibri"/>
                <w:sz w:val="22"/>
              </w:rPr>
              <w:t>27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6F73" w:rsidRPr="004E55E1" w:rsidRDefault="00416772" w:rsidP="00490307">
            <w:pPr>
              <w:ind w:firstLine="0"/>
              <w:jc w:val="center"/>
              <w:rPr>
                <w:sz w:val="22"/>
              </w:rPr>
            </w:pPr>
            <w:r w:rsidRPr="004E55E1">
              <w:rPr>
                <w:rFonts w:eastAsia="Calibri"/>
                <w:sz w:val="22"/>
              </w:rPr>
              <w:t>38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6F73" w:rsidRPr="004E55E1" w:rsidRDefault="00416772" w:rsidP="00490307">
            <w:pPr>
              <w:ind w:firstLine="0"/>
              <w:jc w:val="center"/>
              <w:rPr>
                <w:sz w:val="22"/>
              </w:rPr>
            </w:pPr>
            <w:r w:rsidRPr="004E55E1">
              <w:rPr>
                <w:rFonts w:eastAsia="Calibri"/>
                <w:sz w:val="22"/>
              </w:rPr>
              <w:t>24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6F73" w:rsidRPr="004E55E1" w:rsidRDefault="00416772" w:rsidP="00490307">
            <w:pPr>
              <w:ind w:firstLine="0"/>
              <w:jc w:val="center"/>
              <w:rPr>
                <w:sz w:val="22"/>
              </w:rPr>
            </w:pPr>
            <w:r w:rsidRPr="004E55E1">
              <w:rPr>
                <w:rFonts w:eastAsia="Calibri"/>
                <w:sz w:val="22"/>
              </w:rPr>
              <w:t>16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6F73" w:rsidRPr="004E55E1" w:rsidRDefault="00416772" w:rsidP="00490307">
            <w:pPr>
              <w:ind w:firstLine="0"/>
              <w:jc w:val="center"/>
              <w:rPr>
                <w:sz w:val="22"/>
              </w:rPr>
            </w:pPr>
            <w:r w:rsidRPr="004E55E1">
              <w:rPr>
                <w:rFonts w:eastAsia="Calibri"/>
                <w:sz w:val="22"/>
              </w:rPr>
              <w:t>25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6F73" w:rsidRPr="004E55E1" w:rsidRDefault="00416772" w:rsidP="00490307">
            <w:pPr>
              <w:ind w:firstLine="0"/>
              <w:jc w:val="center"/>
              <w:rPr>
                <w:sz w:val="22"/>
              </w:rPr>
            </w:pPr>
            <w:r w:rsidRPr="004E55E1">
              <w:rPr>
                <w:rFonts w:eastAsia="Calibri"/>
                <w:sz w:val="22"/>
              </w:rPr>
              <w:t>17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6F73" w:rsidRPr="004E55E1" w:rsidRDefault="00416772" w:rsidP="00490307">
            <w:pPr>
              <w:ind w:firstLine="0"/>
              <w:jc w:val="center"/>
              <w:rPr>
                <w:sz w:val="22"/>
              </w:rPr>
            </w:pPr>
            <w:r w:rsidRPr="004E55E1">
              <w:rPr>
                <w:rFonts w:eastAsia="Calibri"/>
                <w:sz w:val="22"/>
              </w:rPr>
              <w:t>10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6F73" w:rsidRPr="004E55E1" w:rsidRDefault="00416772" w:rsidP="00490307">
            <w:pPr>
              <w:ind w:firstLine="0"/>
              <w:jc w:val="center"/>
              <w:rPr>
                <w:sz w:val="22"/>
              </w:rPr>
            </w:pPr>
            <w:r w:rsidRPr="004E55E1">
              <w:rPr>
                <w:rFonts w:eastAsia="Calibri"/>
                <w:sz w:val="22"/>
              </w:rPr>
              <w:t>50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6F73" w:rsidRPr="004E55E1" w:rsidRDefault="00416772" w:rsidP="00490307">
            <w:pPr>
              <w:ind w:firstLine="0"/>
              <w:jc w:val="center"/>
              <w:rPr>
                <w:sz w:val="22"/>
              </w:rPr>
            </w:pPr>
            <w:r w:rsidRPr="004E55E1">
              <w:rPr>
                <w:rFonts w:eastAsia="Calibri"/>
                <w:sz w:val="22"/>
              </w:rPr>
              <w:t>25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6F73" w:rsidRPr="004E55E1" w:rsidRDefault="00416772" w:rsidP="00490307">
            <w:pPr>
              <w:ind w:firstLine="0"/>
              <w:jc w:val="center"/>
              <w:rPr>
                <w:sz w:val="22"/>
              </w:rPr>
            </w:pPr>
            <w:r w:rsidRPr="004E55E1">
              <w:rPr>
                <w:rFonts w:eastAsia="Calibri"/>
                <w:sz w:val="22"/>
              </w:rPr>
              <w:t>13</w:t>
            </w:r>
          </w:p>
        </w:tc>
      </w:tr>
    </w:tbl>
    <w:p w:rsidR="00CE6F73" w:rsidRPr="00490307" w:rsidRDefault="00490307" w:rsidP="00490307">
      <w:pPr>
        <w:rPr>
          <w:sz w:val="22"/>
        </w:rPr>
      </w:pPr>
      <w:r w:rsidRPr="00490307">
        <w:rPr>
          <w:rFonts w:eastAsia="Calibri"/>
          <w:sz w:val="22"/>
        </w:rPr>
        <w:t>Примечание: *</w:t>
      </w:r>
      <w:r w:rsidR="00416772" w:rsidRPr="00490307">
        <w:rPr>
          <w:rFonts w:eastAsia="Calibri"/>
          <w:sz w:val="22"/>
        </w:rPr>
        <w:t xml:space="preserve">Рос – для России в целом; </w:t>
      </w:r>
      <w:proofErr w:type="gramStart"/>
      <w:r w:rsidR="00416772" w:rsidRPr="00490307">
        <w:rPr>
          <w:rFonts w:eastAsia="Calibri"/>
          <w:sz w:val="22"/>
        </w:rPr>
        <w:t>П</w:t>
      </w:r>
      <w:proofErr w:type="gramEnd"/>
      <w:r w:rsidR="00416772" w:rsidRPr="00490307">
        <w:rPr>
          <w:rFonts w:eastAsia="Calibri"/>
          <w:sz w:val="22"/>
        </w:rPr>
        <w:t>/</w:t>
      </w:r>
      <w:proofErr w:type="spellStart"/>
      <w:r w:rsidR="00416772" w:rsidRPr="00490307">
        <w:rPr>
          <w:rFonts w:eastAsia="Calibri"/>
          <w:sz w:val="22"/>
        </w:rPr>
        <w:t>р</w:t>
      </w:r>
      <w:proofErr w:type="spellEnd"/>
      <w:r w:rsidR="00416772" w:rsidRPr="00490307">
        <w:rPr>
          <w:rFonts w:eastAsia="Calibri"/>
          <w:sz w:val="22"/>
        </w:rPr>
        <w:t xml:space="preserve"> – для промышленных регионов; С/</w:t>
      </w:r>
      <w:proofErr w:type="spellStart"/>
      <w:r w:rsidR="00416772" w:rsidRPr="00490307">
        <w:rPr>
          <w:rFonts w:eastAsia="Calibri"/>
          <w:sz w:val="22"/>
        </w:rPr>
        <w:t>р</w:t>
      </w:r>
      <w:proofErr w:type="spellEnd"/>
      <w:r w:rsidR="00416772" w:rsidRPr="00490307">
        <w:rPr>
          <w:rFonts w:eastAsia="Calibri"/>
          <w:sz w:val="22"/>
        </w:rPr>
        <w:t xml:space="preserve"> – для </w:t>
      </w:r>
      <w:r w:rsidR="00416772" w:rsidRPr="00490307">
        <w:rPr>
          <w:rFonts w:eastAsia="Calibri"/>
          <w:sz w:val="22"/>
        </w:rPr>
        <w:lastRenderedPageBreak/>
        <w:t>сырьевых регионов.</w:t>
      </w:r>
    </w:p>
    <w:p w:rsidR="00CE6F73" w:rsidRDefault="00416772" w:rsidP="001135DA">
      <w:pPr>
        <w:ind w:firstLine="567"/>
      </w:pPr>
      <w:r>
        <w:rPr>
          <w:rFonts w:eastAsia="Calibri"/>
          <w:szCs w:val="24"/>
        </w:rPr>
        <w:t>Именно социальная экология в течени</w:t>
      </w:r>
      <w:proofErr w:type="gramStart"/>
      <w:r>
        <w:rPr>
          <w:rFonts w:eastAsia="Calibri"/>
          <w:szCs w:val="24"/>
        </w:rPr>
        <w:t>и</w:t>
      </w:r>
      <w:proofErr w:type="gramEnd"/>
      <w:r>
        <w:rPr>
          <w:rFonts w:eastAsia="Calibri"/>
          <w:szCs w:val="24"/>
        </w:rPr>
        <w:t xml:space="preserve"> последних лет занималась изучением социально-экологической напряженности и социально-экологическими конфликтами. </w:t>
      </w:r>
      <w:proofErr w:type="gramStart"/>
      <w:r>
        <w:rPr>
          <w:rFonts w:eastAsia="Calibri"/>
          <w:szCs w:val="24"/>
        </w:rPr>
        <w:t>Введение этих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понятий при разработке социально-экологического мониторинга в рамках </w:t>
      </w:r>
      <w:r w:rsidR="00D508D6">
        <w:rPr>
          <w:rFonts w:eastAsia="Calibri"/>
          <w:szCs w:val="24"/>
        </w:rPr>
        <w:t>Гос</w:t>
      </w:r>
      <w:r>
        <w:rPr>
          <w:rFonts w:eastAsia="Calibri"/>
          <w:szCs w:val="24"/>
        </w:rPr>
        <w:t>программы «Экологическая безопасность</w:t>
      </w:r>
      <w:r w:rsidR="00D508D6">
        <w:rPr>
          <w:rFonts w:eastAsia="Calibri"/>
          <w:szCs w:val="24"/>
        </w:rPr>
        <w:t xml:space="preserve"> России (1993-1995)</w:t>
      </w:r>
      <w:r>
        <w:rPr>
          <w:rFonts w:eastAsia="Calibri"/>
          <w:szCs w:val="24"/>
        </w:rPr>
        <w:t>» позволило выявить связь между зачастую не воспринимаемыми непосредственно человеком антропогенными изменениями свойств и характеристик биосферы и реальной социальной жизнью, когда создаваемая человеческой деятельностью "рукотворная" экологическая ситуация неизбежно порождает прежде всего, вполне очевидные многочисленные угрозы конкретным социальным интересам отдельных слоев и групп.</w:t>
      </w:r>
      <w:proofErr w:type="gramEnd"/>
      <w:r>
        <w:rPr>
          <w:rFonts w:eastAsia="Calibri"/>
          <w:szCs w:val="24"/>
        </w:rPr>
        <w:t xml:space="preserve"> Так, результат многолетних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эмпирических социологических исследований научно обоснованно подтвердили наличие объективных зависимостей между экологической ситуацией и здоровьем населения; его трудовой деятельностью; отдыхом; миграциями; политической стабильностью и т.д., а, в конечном счете, между экологической ситуацией и национальной безопасностью. Соответственно этому, воздействие негативных последствий человеческой деятельности сейчас реально осознается социальными общностями в разных регионах. Иногда правда, только после достаточно длительного вызревания социально-экологических проблем, то есть в виде объективных разнообразных угроз своему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уровню и качеству жизни.</w:t>
      </w:r>
    </w:p>
    <w:p w:rsidR="00CE6F73" w:rsidRDefault="00416772" w:rsidP="001135DA">
      <w:pPr>
        <w:ind w:firstLine="567"/>
      </w:pPr>
      <w:r>
        <w:rPr>
          <w:rFonts w:eastAsia="Calibri"/>
          <w:szCs w:val="24"/>
        </w:rPr>
        <w:t>Таким образом, социальная экология убедительно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показала, что реакция на экологические проблемы в современных условиях носит опосредованный и неизбежно запаздывающий характер: то есть получается, что реакцию населения порождает не антропогенная экологическая проблема как таковая, а, главным образом, ее социальные последствия. Соответственно этому и цепочке "антропогенный экологический фактор" — "потребность" — "интерес" — "мотив" — "действие", определяющей поведение индивидов и социальных общностей, имманен</w:t>
      </w:r>
      <w:r w:rsidR="002E7D36">
        <w:rPr>
          <w:rFonts w:eastAsia="Calibri"/>
          <w:szCs w:val="24"/>
        </w:rPr>
        <w:t>тны неизбежные "временные лаги"</w:t>
      </w:r>
      <w:r>
        <w:rPr>
          <w:rFonts w:eastAsia="Calibri"/>
          <w:szCs w:val="24"/>
        </w:rPr>
        <w:t>,</w:t>
      </w:r>
      <w:r w:rsidR="002E7D36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то есть некоторое запаздывание.</w:t>
      </w:r>
    </w:p>
    <w:p w:rsidR="00D508D6" w:rsidRPr="00D508D6" w:rsidRDefault="00416772" w:rsidP="001135DA">
      <w:pPr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При этом и действия людей, направленные на разрешение этих экологически обусловленных социальных проблем и ликвидацию возникших угроз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своему уровню и качеству жизни, носят не некоторый специфически "экологический", а вполне конкретный социальный характер. То есть имеют место демонстрации, пикетирования конкретных объектов, использование правовых механизмов, бойкоты конкретных товаров и т.п. вплоть до формирования электоральных предпочтений. Так, по данным Всероссийского исследования, проведенного ВЦИОМ в декабре 2016 г., наиболее распространенная среди населения природоохранная практика – экономия водных и энергоресурсов (отмечают более 80% респондентов). Другие практики распространены среди трети и менее опрошенных, это, в первую очередь, отказ от излишней пластиковой упаковки в магазинах, сдача в переработку макулатуры, раздельный сбор мусора, утилизация использованных батареек, аккумуляторов, лампочек. Очевидной массовой формой участия в экологической общественной деятельности являются т.н. «субботники», или разные акции</w:t>
      </w:r>
      <w:proofErr w:type="gramStart"/>
      <w:r>
        <w:rPr>
          <w:rFonts w:eastAsia="Calibri"/>
          <w:szCs w:val="24"/>
        </w:rPr>
        <w:t xml:space="preserve"> ,</w:t>
      </w:r>
      <w:proofErr w:type="gramEnd"/>
      <w:r>
        <w:rPr>
          <w:rFonts w:eastAsia="Calibri"/>
          <w:szCs w:val="24"/>
        </w:rPr>
        <w:t>например, «Посади дерево» в которых за последние 3 года принимало участие более половины опрошенных (55%) и т.п.</w:t>
      </w:r>
      <w:r w:rsidR="00D508D6">
        <w:rPr>
          <w:rFonts w:eastAsia="Calibri"/>
          <w:szCs w:val="24"/>
        </w:rPr>
        <w:t xml:space="preserve"> </w:t>
      </w:r>
      <w:r w:rsidR="00D508D6" w:rsidRPr="00D508D6">
        <w:rPr>
          <w:rFonts w:eastAsia="Calibri"/>
          <w:szCs w:val="24"/>
        </w:rPr>
        <w:t>[</w:t>
      </w:r>
      <w:r w:rsidR="00D508D6">
        <w:rPr>
          <w:rFonts w:eastAsia="Calibri"/>
          <w:szCs w:val="24"/>
        </w:rPr>
        <w:t>5</w:t>
      </w:r>
      <w:r w:rsidR="00D508D6" w:rsidRPr="00D508D6">
        <w:rPr>
          <w:rFonts w:eastAsia="Calibri"/>
          <w:szCs w:val="24"/>
        </w:rPr>
        <w:t>]</w:t>
      </w:r>
      <w:r w:rsidR="00D508D6">
        <w:rPr>
          <w:rFonts w:eastAsia="Calibri"/>
          <w:szCs w:val="24"/>
        </w:rPr>
        <w:t>.</w:t>
      </w:r>
    </w:p>
    <w:p w:rsidR="00CE6F73" w:rsidRDefault="00416772" w:rsidP="001135DA">
      <w:pPr>
        <w:ind w:firstLine="567"/>
      </w:pPr>
      <w:r>
        <w:rPr>
          <w:rFonts w:eastAsia="Calibri"/>
          <w:szCs w:val="24"/>
        </w:rPr>
        <w:t>Категории социальной экологии, по своей сути, в настоящее время отражают результат сложного взаимодействия экологических, социальных и духовных факторов и являются индикатором актуализации социально-экологических процессов. При этом показателем, например, социально-экологической напряженности можно считать наличие в общественном сознании устойчивых и распространенных оценок, связывающих антропогенную экологическую ситуацию с угрозой или фактическим ущемлением важнейших социальных и духовных потребностей конкретной общности. В свою очередь, критерием устойчивости и распространенности данных оценок служит их присутствие в общественном мнении. Завершается осознание социальным субъектом (слоем, группой, территориальной общностью и т.п.) глубокого несоответствия экологической ситуации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и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ценностям и интересам, когда проявляется готовность устранить данное несоответствие путем социального столкновения или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предпринимаются целенаправленные конфликтные действия и т.д.</w:t>
      </w:r>
    </w:p>
    <w:p w:rsidR="00CE6F73" w:rsidRDefault="00416772" w:rsidP="001135DA">
      <w:pPr>
        <w:ind w:firstLine="567"/>
      </w:pPr>
      <w:r>
        <w:rPr>
          <w:rFonts w:eastAsia="Calibri"/>
          <w:szCs w:val="24"/>
        </w:rPr>
        <w:lastRenderedPageBreak/>
        <w:t xml:space="preserve">За 30 лет исследований отмечена тесная связь оценки населением экологического риска, связанного с конкретным производственным, оборонным и т.п. объектом, и компетентности общественного мнения по вопросам экологии. Детальный анализ результатов исследований позволяет </w:t>
      </w:r>
      <w:proofErr w:type="gramStart"/>
      <w:r>
        <w:rPr>
          <w:rFonts w:eastAsia="Calibri"/>
          <w:szCs w:val="24"/>
        </w:rPr>
        <w:t>констатировать</w:t>
      </w:r>
      <w:proofErr w:type="gramEnd"/>
      <w:r>
        <w:rPr>
          <w:rFonts w:eastAsia="Calibri"/>
          <w:szCs w:val="24"/>
        </w:rPr>
        <w:t xml:space="preserve"> прежде всего хроническую </w:t>
      </w:r>
      <w:proofErr w:type="spellStart"/>
      <w:r>
        <w:rPr>
          <w:rFonts w:eastAsia="Calibri"/>
          <w:szCs w:val="24"/>
        </w:rPr>
        <w:t>неинформированность</w:t>
      </w:r>
      <w:proofErr w:type="spellEnd"/>
      <w:r>
        <w:rPr>
          <w:rFonts w:eastAsia="Calibri"/>
          <w:szCs w:val="24"/>
        </w:rPr>
        <w:t xml:space="preserve"> людей об объективном состоянии и перспективах изменения ситуации на соответствующей локальной территории. Особо критично при этом оценивается степень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информированности в районах размещения экологически опасных объектов; обычно частично информированными — считают себя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две трети респондентов; вообще не информированными каждый четвертый опрошенный.</w:t>
      </w:r>
    </w:p>
    <w:p w:rsidR="00CE6F73" w:rsidRDefault="00416772" w:rsidP="001135DA">
      <w:pPr>
        <w:ind w:firstLine="567"/>
      </w:pPr>
      <w:r>
        <w:rPr>
          <w:rFonts w:eastAsia="Calibri"/>
          <w:szCs w:val="24"/>
        </w:rPr>
        <w:t xml:space="preserve">Реакция конкретных социальных общностей на конкретную проблему </w:t>
      </w:r>
      <w:proofErr w:type="gramStart"/>
      <w:r>
        <w:rPr>
          <w:rFonts w:eastAsia="Calibri"/>
          <w:szCs w:val="24"/>
        </w:rPr>
        <w:t>определяется</w:t>
      </w:r>
      <w:proofErr w:type="gramEnd"/>
      <w:r>
        <w:rPr>
          <w:rFonts w:eastAsia="Calibri"/>
          <w:szCs w:val="24"/>
        </w:rPr>
        <w:t xml:space="preserve"> прежде всего: социальными интересами (при этом одна и та же тема может иметь разное значение для отдельных социальных слоев, групп и т.д.); </w:t>
      </w:r>
      <w:proofErr w:type="gramStart"/>
      <w:r>
        <w:rPr>
          <w:rFonts w:eastAsia="Calibri"/>
          <w:szCs w:val="24"/>
        </w:rPr>
        <w:t>духовными и социально-психологическими характеристиками (при этом ценностная система, социальные установки различных социальных и этнических групп, стереотипы их поведения и восприятия могут существенно различаться).. С другой стороны, по данным ВЦИОМ, мотивы обращения жителей России к бытовым природоохранным практикам разные, а именно: одни заботятся о природе, другие – экономят на расходах, связанных с потреблением природных ресурсов, т.е. вполне возможно достижение социально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значимого</w:t>
      </w:r>
      <w:proofErr w:type="gramEnd"/>
      <w:r>
        <w:rPr>
          <w:rFonts w:eastAsia="Calibri"/>
          <w:szCs w:val="24"/>
        </w:rPr>
        <w:t xml:space="preserve"> баланса между целями охраны окружающей среды и экономической целесообразностью</w:t>
      </w:r>
      <w:r w:rsidR="00D508D6">
        <w:rPr>
          <w:rFonts w:eastAsia="Calibri"/>
          <w:szCs w:val="24"/>
        </w:rPr>
        <w:t xml:space="preserve"> </w:t>
      </w:r>
      <w:r w:rsidR="00D508D6">
        <w:rPr>
          <w:rFonts w:eastAsia="Calibri"/>
          <w:szCs w:val="24"/>
          <w:lang w:val="en-US"/>
        </w:rPr>
        <w:t>[</w:t>
      </w:r>
      <w:r w:rsidR="00D508D6">
        <w:rPr>
          <w:rFonts w:eastAsia="Calibri"/>
          <w:szCs w:val="24"/>
        </w:rPr>
        <w:t>4</w:t>
      </w:r>
      <w:r w:rsidR="00D508D6">
        <w:rPr>
          <w:rFonts w:eastAsia="Calibri"/>
          <w:szCs w:val="24"/>
          <w:lang w:val="en-US"/>
        </w:rPr>
        <w:t>]</w:t>
      </w:r>
      <w:r>
        <w:rPr>
          <w:rFonts w:eastAsia="Calibri"/>
          <w:szCs w:val="24"/>
        </w:rPr>
        <w:t>.</w:t>
      </w:r>
    </w:p>
    <w:p w:rsidR="00CE6F73" w:rsidRDefault="00416772" w:rsidP="001135DA">
      <w:pPr>
        <w:ind w:firstLine="567"/>
      </w:pPr>
      <w:r>
        <w:rPr>
          <w:rFonts w:eastAsia="Calibri"/>
          <w:szCs w:val="24"/>
        </w:rPr>
        <w:t>В целом же несходство духовных и социально-психологических характеристик, определяющих мнение и поведение разных социальных субъектов в различных регионах России, может быть весьма существенным. В качестве примера можно назвать принципиально различное положение здоровья в ценностной системе жителей России.</w:t>
      </w:r>
    </w:p>
    <w:p w:rsidR="00CE6F73" w:rsidRDefault="00416772" w:rsidP="001135DA">
      <w:pPr>
        <w:ind w:firstLine="567"/>
      </w:pPr>
      <w:r>
        <w:rPr>
          <w:rFonts w:eastAsia="Calibri"/>
          <w:szCs w:val="24"/>
        </w:rPr>
        <w:t>Россияне, как показывают результаты опросов, рассматривают здоровье преимущественно как инструментальную ценность в неразрывной связке с терминальными — карьерой, материальным благополучием и иными компонент</w:t>
      </w:r>
      <w:r w:rsidR="002E7D36">
        <w:rPr>
          <w:rFonts w:eastAsia="Calibri"/>
          <w:szCs w:val="24"/>
        </w:rPr>
        <w:t>ами жизненного успеха. При этом</w:t>
      </w:r>
      <w:r>
        <w:rPr>
          <w:rFonts w:eastAsia="Calibri"/>
          <w:szCs w:val="24"/>
        </w:rPr>
        <w:t>, даже добиваясь жизненно важной для себя цели, могут, не задумываясь, пренебречь собственным здоровьем, подчеркивая на словах его огромное значение. Соответственно этому и реакции на угрозу здоровью со стороны антропогенных экологических факторов могут существенно различаться</w:t>
      </w:r>
      <w:r w:rsidR="00D508D6">
        <w:rPr>
          <w:rFonts w:eastAsia="Calibri"/>
          <w:szCs w:val="24"/>
        </w:rPr>
        <w:t xml:space="preserve"> </w:t>
      </w:r>
      <w:r w:rsidR="00D508D6" w:rsidRPr="00D508D6">
        <w:rPr>
          <w:rFonts w:eastAsia="Calibri"/>
          <w:szCs w:val="24"/>
        </w:rPr>
        <w:t>[</w:t>
      </w:r>
      <w:r w:rsidR="00D508D6">
        <w:rPr>
          <w:rFonts w:eastAsia="Calibri"/>
          <w:szCs w:val="24"/>
        </w:rPr>
        <w:t>5</w:t>
      </w:r>
      <w:r w:rsidR="00D508D6" w:rsidRPr="00D508D6">
        <w:rPr>
          <w:rFonts w:eastAsia="Calibri"/>
          <w:szCs w:val="24"/>
        </w:rPr>
        <w:t>]</w:t>
      </w:r>
      <w:r>
        <w:rPr>
          <w:rFonts w:eastAsia="Calibri"/>
          <w:szCs w:val="24"/>
        </w:rPr>
        <w:t>.</w:t>
      </w:r>
    </w:p>
    <w:p w:rsidR="00CE6F73" w:rsidRDefault="00416772" w:rsidP="001135DA">
      <w:pPr>
        <w:ind w:firstLine="567"/>
      </w:pPr>
      <w:r>
        <w:rPr>
          <w:rFonts w:eastAsia="Calibri"/>
          <w:szCs w:val="24"/>
        </w:rPr>
        <w:t>Влияние социальных и социально-демографических характеристик населения на формирование общественного мнения, выбор позиции и т.п. является в условиях крайне стратифицированного общества исключительно сильным. Проиллюстрируем это положение результатами массового опроса, проведенного</w:t>
      </w:r>
      <w:r w:rsidR="000C2DA6">
        <w:rPr>
          <w:rFonts w:eastAsia="Calibri"/>
          <w:szCs w:val="24"/>
        </w:rPr>
        <w:t xml:space="preserve"> при участии НИ</w:t>
      </w:r>
      <w:proofErr w:type="gramStart"/>
      <w:r w:rsidR="000C2DA6">
        <w:rPr>
          <w:rFonts w:eastAsia="Calibri"/>
          <w:szCs w:val="24"/>
        </w:rPr>
        <w:t>А-</w:t>
      </w:r>
      <w:proofErr w:type="gramEnd"/>
      <w:r w:rsidR="000C2DA6">
        <w:rPr>
          <w:rFonts w:eastAsia="Calibri"/>
          <w:szCs w:val="24"/>
        </w:rPr>
        <w:t xml:space="preserve">«Природа» еще </w:t>
      </w:r>
      <w:r>
        <w:rPr>
          <w:rFonts w:eastAsia="Calibri"/>
          <w:szCs w:val="24"/>
        </w:rPr>
        <w:t>в 2003 г. В частности, было установлено: доминирующая дифференцирующая роль в формировании готовности различных социальных слоев и групп к активной самостоятельной защите своих социально-экологических интересов принадлежит уровню доходов, а приоритетность социально-экологических интересов существенно зависит от принадлежности к определенной социальной (социально-профессиональной) группе или слою</w:t>
      </w:r>
      <w:r w:rsidR="000C2DA6">
        <w:rPr>
          <w:rFonts w:eastAsia="Calibri"/>
          <w:szCs w:val="24"/>
        </w:rPr>
        <w:t>.</w:t>
      </w:r>
    </w:p>
    <w:p w:rsidR="00CE6F73" w:rsidRDefault="00416772" w:rsidP="001135DA">
      <w:pPr>
        <w:ind w:firstLine="567"/>
      </w:pPr>
      <w:r>
        <w:rPr>
          <w:rFonts w:eastAsia="Calibri"/>
          <w:szCs w:val="24"/>
        </w:rPr>
        <w:t>На социальные общности оказывается информационное воздействие, источниками которого, в первую очередь, являются СМИ, слухи, экологическое образование и т.д. С данной точки зрения немаловажно, в частности, что тема устойчивого развития и экологии в целом по-прежнему остается среди наименее освещаемых тем для СМИ.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Как показывают результаты исследований, подавляющее большинство населения не способно сформулировать хотя бы свое представление об устойчивом развитии. Вне области серьезного внимания отечественных СМИ остались Конференция ООН по устойчивому развитию «Рио+20», Саммит по устойчивому развитию 25-27 сентября 2015 г. и Таким образом, очевидной настоятельной необходимостью является сейчас позитивное сочетание «экологической активности» СМИ, сетевых ресурсов, социальной рекламы и системы экологического образования.</w:t>
      </w:r>
    </w:p>
    <w:p w:rsidR="00CE6F73" w:rsidRDefault="00416772" w:rsidP="001135DA">
      <w:pPr>
        <w:ind w:firstLine="567"/>
      </w:pPr>
      <w:r>
        <w:rPr>
          <w:szCs w:val="24"/>
          <w:shd w:val="clear" w:color="auto" w:fill="FFFFFF"/>
        </w:rPr>
        <w:t>Как уже отмечалось выше, среди социальных общностей могут найтись такие, которые станут субъектами социально-экологической напряженности (конфликта). В зависимости от ее реального уровня данные субъекты и будут действовать по отношению к</w:t>
      </w:r>
      <w:r w:rsidR="004E55E1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органам власти, к </w:t>
      </w:r>
      <w:r>
        <w:rPr>
          <w:szCs w:val="24"/>
          <w:shd w:val="clear" w:color="auto" w:fill="FFFFFF"/>
        </w:rPr>
        <w:lastRenderedPageBreak/>
        <w:t>другим социальным общностям. Симптоматично при этом, что, по данным ВЦИОМ, основную ответственность за состояние экологии население возлагает на</w:t>
      </w:r>
      <w:r w:rsidR="000C2DA6">
        <w:rPr>
          <w:szCs w:val="24"/>
          <w:shd w:val="clear" w:color="auto" w:fill="FFFFFF"/>
        </w:rPr>
        <w:t xml:space="preserve"> местные органы, </w:t>
      </w:r>
      <w:r>
        <w:rPr>
          <w:szCs w:val="24"/>
          <w:shd w:val="clear" w:color="auto" w:fill="FFFFFF"/>
        </w:rPr>
        <w:t>но не на</w:t>
      </w:r>
      <w:r w:rsidR="004E55E1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самих граждан. К усилиям</w:t>
      </w:r>
      <w:r w:rsidR="004E55E1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региональных властей по улучшению экологической ситуации респонденты</w:t>
      </w:r>
      <w:r w:rsidR="004E55E1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оказались настроены критично – только пятая часть указала, что, по их мнению, делается достаточно. Различий в оценке разных уровней власти практически не выявлено, можно лишь отметить, что осведомленность о работе федеральных властей в области защиты экологии гораздо ниже.</w:t>
      </w:r>
    </w:p>
    <w:p w:rsidR="00CE6F73" w:rsidRDefault="00416772" w:rsidP="001135DA">
      <w:pPr>
        <w:ind w:firstLine="567"/>
      </w:pPr>
      <w:r>
        <w:rPr>
          <w:rFonts w:eastAsia="Calibri"/>
          <w:szCs w:val="24"/>
        </w:rPr>
        <w:t>В свою очередь, по данным ФСО, каждый пятый житель России готов принять участие в различных акциях протеста, если властями не будут решаться актуальные экологические проблемы.</w:t>
      </w:r>
      <w:r>
        <w:rPr>
          <w:rFonts w:eastAsia="PTSans-Bold"/>
          <w:b/>
          <w:szCs w:val="24"/>
        </w:rPr>
        <w:t xml:space="preserve"> </w:t>
      </w:r>
      <w:r>
        <w:rPr>
          <w:rFonts w:eastAsia="Calibri"/>
          <w:szCs w:val="24"/>
        </w:rPr>
        <w:t>В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мае</w:t>
      </w:r>
      <w:r>
        <w:rPr>
          <w:rFonts w:eastAsia="PTSans-Regular"/>
          <w:szCs w:val="24"/>
        </w:rPr>
        <w:t xml:space="preserve"> 2016 </w:t>
      </w:r>
      <w:r>
        <w:rPr>
          <w:rFonts w:eastAsia="Calibri"/>
          <w:szCs w:val="24"/>
        </w:rPr>
        <w:t>г</w:t>
      </w:r>
      <w:r>
        <w:rPr>
          <w:rFonts w:eastAsia="PTSans-Regular"/>
          <w:szCs w:val="24"/>
        </w:rPr>
        <w:t xml:space="preserve">. </w:t>
      </w:r>
      <w:r>
        <w:rPr>
          <w:rFonts w:eastAsia="Calibri"/>
          <w:szCs w:val="24"/>
        </w:rPr>
        <w:t>эта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доля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даже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возросла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в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сравнении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с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докризисным</w:t>
      </w:r>
      <w:r>
        <w:rPr>
          <w:rFonts w:eastAsia="PTSans-Regular"/>
          <w:szCs w:val="24"/>
        </w:rPr>
        <w:t xml:space="preserve"> 2014 </w:t>
      </w:r>
      <w:r>
        <w:rPr>
          <w:rFonts w:eastAsia="Calibri"/>
          <w:szCs w:val="24"/>
        </w:rPr>
        <w:t>г</w:t>
      </w:r>
      <w:r>
        <w:rPr>
          <w:rFonts w:eastAsia="PTSans-Regular"/>
          <w:szCs w:val="24"/>
        </w:rPr>
        <w:t>.</w:t>
      </w:r>
      <w:proofErr w:type="gramStart"/>
      <w:r>
        <w:rPr>
          <w:rFonts w:eastAsia="PTSans-Regular"/>
          <w:szCs w:val="24"/>
        </w:rPr>
        <w:t xml:space="preserve"> .</w:t>
      </w:r>
      <w:proofErr w:type="gramEnd"/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В</w:t>
      </w:r>
      <w:r>
        <w:rPr>
          <w:rFonts w:eastAsia="PTSans-Regular"/>
          <w:szCs w:val="24"/>
        </w:rPr>
        <w:t xml:space="preserve"> 38 </w:t>
      </w:r>
      <w:r>
        <w:rPr>
          <w:rFonts w:eastAsia="Calibri"/>
          <w:szCs w:val="24"/>
        </w:rPr>
        <w:t>субъектах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Российской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Федерации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эта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доля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превышает</w:t>
      </w:r>
      <w:r>
        <w:rPr>
          <w:rFonts w:eastAsia="PTSans-Regular"/>
          <w:szCs w:val="24"/>
        </w:rPr>
        <w:t xml:space="preserve"> 20%, </w:t>
      </w:r>
      <w:r>
        <w:rPr>
          <w:rFonts w:eastAsia="Calibri"/>
          <w:szCs w:val="24"/>
        </w:rPr>
        <w:t>а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в</w:t>
      </w:r>
      <w:r>
        <w:rPr>
          <w:rFonts w:eastAsia="PTSans-Regular"/>
          <w:szCs w:val="24"/>
        </w:rPr>
        <w:t xml:space="preserve"> 7 </w:t>
      </w:r>
      <w:r>
        <w:rPr>
          <w:rFonts w:eastAsia="Calibri"/>
          <w:szCs w:val="24"/>
        </w:rPr>
        <w:t>превышает</w:t>
      </w:r>
      <w:r>
        <w:rPr>
          <w:rFonts w:eastAsia="PTSans-Regular"/>
          <w:szCs w:val="24"/>
        </w:rPr>
        <w:t xml:space="preserve"> 30%: </w:t>
      </w:r>
      <w:r>
        <w:rPr>
          <w:rFonts w:eastAsia="Calibri"/>
          <w:szCs w:val="24"/>
        </w:rPr>
        <w:t>Калужская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область</w:t>
      </w:r>
      <w:r>
        <w:rPr>
          <w:rFonts w:eastAsia="PTSans-Regular"/>
          <w:szCs w:val="24"/>
        </w:rPr>
        <w:t xml:space="preserve"> (33%), </w:t>
      </w:r>
      <w:r>
        <w:rPr>
          <w:rFonts w:eastAsia="Calibri"/>
          <w:szCs w:val="24"/>
        </w:rPr>
        <w:t>г</w:t>
      </w:r>
      <w:r>
        <w:rPr>
          <w:rFonts w:eastAsia="PTSans-Regular"/>
          <w:szCs w:val="24"/>
        </w:rPr>
        <w:t xml:space="preserve">. </w:t>
      </w:r>
      <w:r>
        <w:rPr>
          <w:rFonts w:eastAsia="Calibri"/>
          <w:szCs w:val="24"/>
        </w:rPr>
        <w:t>Севастополь</w:t>
      </w:r>
      <w:r>
        <w:rPr>
          <w:rFonts w:eastAsia="PTSans-Regular"/>
          <w:szCs w:val="24"/>
        </w:rPr>
        <w:t xml:space="preserve"> (33%), </w:t>
      </w:r>
      <w:r>
        <w:rPr>
          <w:rFonts w:eastAsia="Calibri"/>
          <w:szCs w:val="24"/>
        </w:rPr>
        <w:t>Еврейская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автономная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область</w:t>
      </w:r>
      <w:r>
        <w:rPr>
          <w:rFonts w:eastAsia="PTSans-Regular"/>
          <w:szCs w:val="24"/>
        </w:rPr>
        <w:t xml:space="preserve"> (34%), </w:t>
      </w:r>
      <w:r>
        <w:rPr>
          <w:rFonts w:eastAsia="Calibri"/>
          <w:szCs w:val="24"/>
        </w:rPr>
        <w:t>Кабардино</w:t>
      </w:r>
      <w:r>
        <w:rPr>
          <w:rFonts w:eastAsia="PTSans-Regular"/>
          <w:szCs w:val="24"/>
        </w:rPr>
        <w:t>-</w:t>
      </w:r>
      <w:r>
        <w:rPr>
          <w:rFonts w:eastAsia="Calibri"/>
          <w:szCs w:val="24"/>
        </w:rPr>
        <w:t>Балкарская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Республика</w:t>
      </w:r>
      <w:r>
        <w:rPr>
          <w:rFonts w:eastAsia="PTSans-Regular"/>
          <w:szCs w:val="24"/>
        </w:rPr>
        <w:t xml:space="preserve"> (36%), </w:t>
      </w:r>
      <w:r>
        <w:rPr>
          <w:rFonts w:eastAsia="Calibri"/>
          <w:szCs w:val="24"/>
        </w:rPr>
        <w:t>Смоленская</w:t>
      </w:r>
      <w:r>
        <w:rPr>
          <w:rFonts w:eastAsia="PTSans-Regular"/>
          <w:szCs w:val="24"/>
        </w:rPr>
        <w:t xml:space="preserve"> (39%) </w:t>
      </w:r>
      <w:r>
        <w:rPr>
          <w:rFonts w:eastAsia="Calibri"/>
          <w:szCs w:val="24"/>
        </w:rPr>
        <w:t>и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Калининградская</w:t>
      </w:r>
      <w:r>
        <w:rPr>
          <w:rFonts w:eastAsia="PTSans-Regular"/>
          <w:szCs w:val="24"/>
        </w:rPr>
        <w:t xml:space="preserve"> (42%) </w:t>
      </w:r>
      <w:r>
        <w:rPr>
          <w:rFonts w:eastAsia="Calibri"/>
          <w:szCs w:val="24"/>
        </w:rPr>
        <w:t>области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и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Алтайский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край</w:t>
      </w:r>
      <w:r>
        <w:rPr>
          <w:rFonts w:eastAsia="PTSans-Regular"/>
          <w:szCs w:val="24"/>
        </w:rPr>
        <w:t xml:space="preserve"> (71%). </w:t>
      </w:r>
      <w:r>
        <w:rPr>
          <w:rFonts w:eastAsia="Calibri"/>
          <w:szCs w:val="24"/>
        </w:rPr>
        <w:t>При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этом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отмечена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не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очень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выраженная</w:t>
      </w:r>
      <w:r>
        <w:rPr>
          <w:rFonts w:eastAsia="PTSans-Regular"/>
          <w:szCs w:val="24"/>
        </w:rPr>
        <w:t xml:space="preserve">, </w:t>
      </w:r>
      <w:r>
        <w:rPr>
          <w:rFonts w:eastAsia="Calibri"/>
          <w:szCs w:val="24"/>
        </w:rPr>
        <w:t>но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все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же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проявляющаяся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зависимость</w:t>
      </w:r>
      <w:r>
        <w:rPr>
          <w:rFonts w:eastAsia="PTSans-Regular"/>
          <w:szCs w:val="24"/>
        </w:rPr>
        <w:t xml:space="preserve">: </w:t>
      </w:r>
      <w:proofErr w:type="gramStart"/>
      <w:r>
        <w:rPr>
          <w:rFonts w:eastAsia="Calibri"/>
          <w:szCs w:val="24"/>
        </w:rPr>
        <w:t>чем</w:t>
      </w:r>
      <w:r>
        <w:rPr>
          <w:rFonts w:eastAsia="PTSans-Regular"/>
          <w:szCs w:val="24"/>
        </w:rPr>
        <w:t xml:space="preserve"> </w:t>
      </w:r>
      <w:proofErr w:type="spellStart"/>
      <w:r>
        <w:rPr>
          <w:rFonts w:eastAsia="Calibri"/>
          <w:szCs w:val="24"/>
        </w:rPr>
        <w:t>б</w:t>
      </w:r>
      <w:proofErr w:type="gramEnd"/>
      <w:r>
        <w:rPr>
          <w:rFonts w:eastAsia="PTSans-Regular"/>
          <w:szCs w:val="24"/>
        </w:rPr>
        <w:t>ó</w:t>
      </w:r>
      <w:r>
        <w:rPr>
          <w:rFonts w:eastAsia="Calibri"/>
          <w:szCs w:val="24"/>
        </w:rPr>
        <w:t>льшая</w:t>
      </w:r>
      <w:proofErr w:type="spellEnd"/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доля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населения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готова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бороться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за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решение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экологических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проблем</w:t>
      </w:r>
      <w:r>
        <w:rPr>
          <w:rFonts w:eastAsia="PTSans-Regular"/>
          <w:szCs w:val="24"/>
        </w:rPr>
        <w:t xml:space="preserve">, </w:t>
      </w:r>
      <w:r>
        <w:rPr>
          <w:rFonts w:eastAsia="Calibri"/>
          <w:szCs w:val="24"/>
        </w:rPr>
        <w:t>тем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меньше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острота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экологических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проблем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в</w:t>
      </w:r>
      <w:r>
        <w:rPr>
          <w:rFonts w:eastAsia="PTSans-Regular"/>
          <w:szCs w:val="24"/>
        </w:rPr>
        <w:t xml:space="preserve"> </w:t>
      </w:r>
      <w:r>
        <w:rPr>
          <w:rFonts w:eastAsia="Calibri"/>
          <w:szCs w:val="24"/>
        </w:rPr>
        <w:t>регионе</w:t>
      </w:r>
      <w:r>
        <w:rPr>
          <w:rFonts w:eastAsia="PTSans-Regular"/>
          <w:szCs w:val="24"/>
        </w:rPr>
        <w:t xml:space="preserve">. </w:t>
      </w:r>
    </w:p>
    <w:p w:rsidR="00CE6F73" w:rsidRDefault="00416772" w:rsidP="001135DA">
      <w:pPr>
        <w:ind w:firstLine="567"/>
      </w:pPr>
      <w:r>
        <w:rPr>
          <w:rFonts w:eastAsia="Calibri"/>
          <w:szCs w:val="24"/>
        </w:rPr>
        <w:t>В то же время практика государственного управления и экономического развития придает актуальность задаче многомерной классификации экологической и социально-экологической обстановки в административно-территориальных единицах. В качестве практического приближения к искомой процедуре многомерной классификации и измерения напряженности может использоваться апробированная методика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сравнительной оценки социально-экологической ситуации в различных регионах (административно-территориальных единицах), основанная на построении индекса экологической напряженности, позволяющего, как минимум, обеспечить одновременный учет антропогенной нагрузки на конкретной территории и состояния общественного сознания по экологическим проблемам.</w:t>
      </w:r>
    </w:p>
    <w:p w:rsidR="00CE6F73" w:rsidRDefault="00416772" w:rsidP="001135DA">
      <w:pPr>
        <w:ind w:firstLine="567"/>
      </w:pPr>
      <w:r>
        <w:rPr>
          <w:rFonts w:eastAsia="Calibri"/>
          <w:szCs w:val="24"/>
        </w:rPr>
        <w:t>Оценка значений индекса на уровне федеральных округов</w:t>
      </w:r>
      <w:r w:rsidR="004E55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была осуществлена с выбором в качестве типовых регионов: </w:t>
      </w:r>
      <w:proofErr w:type="gramStart"/>
      <w:r>
        <w:rPr>
          <w:rFonts w:eastAsia="Calibri"/>
          <w:szCs w:val="24"/>
        </w:rPr>
        <w:t>Северо-Западный федеральный округ — Республика Карелия; Центральный — Московская область;</w:t>
      </w:r>
      <w:r>
        <w:rPr>
          <w:rFonts w:eastAsia="Times New Roman CYR"/>
          <w:szCs w:val="24"/>
        </w:rPr>
        <w:t xml:space="preserve"> </w:t>
      </w:r>
      <w:r>
        <w:rPr>
          <w:rFonts w:eastAsia="Calibri"/>
          <w:szCs w:val="24"/>
        </w:rPr>
        <w:t>Южный — Ставропольский край; Приволжский — Республика Башкортостан; Уральский — Свердловская область; Сибирский — Республика Хакасия; Дальневосточный — Республика Саха.</w:t>
      </w:r>
      <w:proofErr w:type="gramEnd"/>
      <w:r>
        <w:rPr>
          <w:rFonts w:eastAsia="Calibri"/>
          <w:szCs w:val="24"/>
        </w:rPr>
        <w:t xml:space="preserve"> Итоговые результаты расчетов представлены в </w:t>
      </w:r>
      <w:r w:rsidRPr="00D508D6">
        <w:rPr>
          <w:rFonts w:eastAsia="Calibri"/>
          <w:i/>
          <w:szCs w:val="24"/>
        </w:rPr>
        <w:t>табл</w:t>
      </w:r>
      <w:r w:rsidR="00D508D6" w:rsidRPr="00D508D6">
        <w:rPr>
          <w:rFonts w:eastAsia="Calibri"/>
          <w:i/>
          <w:szCs w:val="24"/>
        </w:rPr>
        <w:t>.</w:t>
      </w:r>
      <w:r w:rsidRPr="00D508D6">
        <w:rPr>
          <w:rFonts w:eastAsia="Calibri"/>
          <w:i/>
          <w:szCs w:val="24"/>
        </w:rPr>
        <w:t xml:space="preserve"> 3</w:t>
      </w:r>
      <w:r>
        <w:rPr>
          <w:rFonts w:eastAsia="Calibri"/>
          <w:szCs w:val="24"/>
        </w:rPr>
        <w:t>.</w:t>
      </w:r>
    </w:p>
    <w:p w:rsidR="00CE6F73" w:rsidRPr="00D508D6" w:rsidRDefault="00416772" w:rsidP="001135DA">
      <w:pPr>
        <w:ind w:firstLine="567"/>
        <w:jc w:val="right"/>
      </w:pPr>
      <w:r w:rsidRPr="00D508D6">
        <w:rPr>
          <w:rFonts w:eastAsia="Calibri"/>
          <w:szCs w:val="24"/>
        </w:rPr>
        <w:t>Таблица 3</w:t>
      </w:r>
    </w:p>
    <w:p w:rsidR="00CE6F73" w:rsidRDefault="00416772" w:rsidP="001135DA">
      <w:pPr>
        <w:ind w:firstLine="567"/>
        <w:jc w:val="center"/>
      </w:pPr>
      <w:r>
        <w:rPr>
          <w:rFonts w:eastAsia="Calibri"/>
          <w:b/>
          <w:szCs w:val="24"/>
        </w:rPr>
        <w:t>Оценочные значения индекса экологической напряженности для федеральных округов РФ</w:t>
      </w:r>
    </w:p>
    <w:tbl>
      <w:tblPr>
        <w:tblW w:w="833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1"/>
        <w:gridCol w:w="1417"/>
        <w:gridCol w:w="1276"/>
        <w:gridCol w:w="1276"/>
      </w:tblGrid>
      <w:tr w:rsidR="00CE6F73" w:rsidRPr="00D508D6" w:rsidTr="00D508D6">
        <w:trPr>
          <w:jc w:val="center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D508D6" w:rsidP="00D508D6">
            <w:pPr>
              <w:ind w:firstLine="0"/>
              <w:jc w:val="center"/>
              <w:rPr>
                <w:i/>
                <w:sz w:val="22"/>
                <w:szCs w:val="24"/>
              </w:rPr>
            </w:pPr>
            <w:r w:rsidRPr="00D508D6">
              <w:rPr>
                <w:rFonts w:eastAsia="Calibri"/>
                <w:i/>
                <w:sz w:val="22"/>
                <w:szCs w:val="24"/>
              </w:rPr>
              <w:t>Федеральный округ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i/>
                <w:sz w:val="22"/>
              </w:rPr>
            </w:pPr>
            <w:r w:rsidRPr="00D508D6">
              <w:rPr>
                <w:rFonts w:eastAsia="Calibri"/>
                <w:i/>
                <w:sz w:val="22"/>
                <w:szCs w:val="24"/>
              </w:rPr>
              <w:t>2005</w:t>
            </w:r>
            <w:r w:rsidR="004E55E1" w:rsidRPr="00D508D6">
              <w:rPr>
                <w:rFonts w:eastAsia="Calibri"/>
                <w:i/>
                <w:sz w:val="22"/>
                <w:szCs w:val="24"/>
              </w:rPr>
              <w:t xml:space="preserve"> </w:t>
            </w:r>
            <w:r w:rsidR="00D508D6" w:rsidRPr="00D508D6">
              <w:rPr>
                <w:rFonts w:eastAsia="Calibri"/>
                <w:i/>
                <w:sz w:val="22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rFonts w:eastAsia="Calibri"/>
                <w:i/>
                <w:sz w:val="22"/>
                <w:szCs w:val="24"/>
              </w:rPr>
            </w:pPr>
            <w:r w:rsidRPr="00D508D6">
              <w:rPr>
                <w:rFonts w:eastAsia="Calibri"/>
                <w:i/>
                <w:sz w:val="22"/>
                <w:szCs w:val="24"/>
              </w:rPr>
              <w:t>2016</w:t>
            </w:r>
            <w:r w:rsidR="00D508D6" w:rsidRPr="00D508D6">
              <w:rPr>
                <w:rFonts w:eastAsia="Calibri"/>
                <w:i/>
                <w:sz w:val="22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rFonts w:eastAsia="Calibri"/>
                <w:i/>
                <w:sz w:val="22"/>
                <w:szCs w:val="24"/>
              </w:rPr>
            </w:pPr>
            <w:r w:rsidRPr="00D508D6">
              <w:rPr>
                <w:rFonts w:eastAsia="Calibri"/>
                <w:i/>
                <w:sz w:val="22"/>
                <w:szCs w:val="24"/>
              </w:rPr>
              <w:t>2019</w:t>
            </w:r>
            <w:r w:rsidR="00D508D6" w:rsidRPr="00D508D6">
              <w:rPr>
                <w:rFonts w:eastAsia="Calibri"/>
                <w:i/>
                <w:sz w:val="22"/>
                <w:szCs w:val="24"/>
              </w:rPr>
              <w:t xml:space="preserve"> г.</w:t>
            </w:r>
          </w:p>
        </w:tc>
      </w:tr>
      <w:tr w:rsidR="00CE6F73" w:rsidRPr="00D508D6" w:rsidTr="00D508D6">
        <w:trPr>
          <w:jc w:val="center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rPr>
                <w:sz w:val="22"/>
              </w:rPr>
            </w:pPr>
            <w:r w:rsidRPr="00D508D6">
              <w:rPr>
                <w:rFonts w:eastAsia="Calibri"/>
                <w:sz w:val="22"/>
                <w:szCs w:val="24"/>
              </w:rPr>
              <w:t>Северо-</w:t>
            </w:r>
            <w:r w:rsidR="00D508D6" w:rsidRPr="00D508D6">
              <w:rPr>
                <w:rFonts w:eastAsia="Calibri"/>
                <w:sz w:val="22"/>
                <w:szCs w:val="24"/>
              </w:rPr>
              <w:t>З</w:t>
            </w:r>
            <w:r w:rsidRPr="00D508D6">
              <w:rPr>
                <w:rFonts w:eastAsia="Calibri"/>
                <w:sz w:val="22"/>
                <w:szCs w:val="24"/>
              </w:rPr>
              <w:t xml:space="preserve">ападный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sz w:val="22"/>
              </w:rPr>
            </w:pPr>
            <w:r w:rsidRPr="00D508D6">
              <w:rPr>
                <w:rFonts w:eastAsia="Calibri"/>
                <w:sz w:val="22"/>
                <w:szCs w:val="24"/>
              </w:rPr>
              <w:t>2.3</w:t>
            </w:r>
            <w:r w:rsidR="004E55E1" w:rsidRPr="00D508D6">
              <w:rPr>
                <w:rFonts w:eastAsia="Calibri"/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rFonts w:eastAsia="Calibri"/>
                <w:sz w:val="22"/>
                <w:szCs w:val="24"/>
              </w:rPr>
            </w:pPr>
            <w:r w:rsidRPr="00D508D6">
              <w:rPr>
                <w:rFonts w:eastAsia="Calibri"/>
                <w:sz w:val="22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rFonts w:eastAsia="Calibri"/>
                <w:sz w:val="22"/>
                <w:szCs w:val="24"/>
              </w:rPr>
            </w:pPr>
            <w:r w:rsidRPr="00D508D6">
              <w:rPr>
                <w:rFonts w:eastAsia="Calibri"/>
                <w:sz w:val="22"/>
                <w:szCs w:val="24"/>
              </w:rPr>
              <w:t>2,5</w:t>
            </w:r>
          </w:p>
        </w:tc>
      </w:tr>
      <w:tr w:rsidR="00CE6F73" w:rsidRPr="00D508D6" w:rsidTr="00D508D6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rPr>
                <w:sz w:val="22"/>
              </w:rPr>
            </w:pPr>
            <w:r w:rsidRPr="00D508D6">
              <w:rPr>
                <w:rFonts w:eastAsia="Calibri"/>
                <w:sz w:val="22"/>
                <w:szCs w:val="24"/>
              </w:rPr>
              <w:t xml:space="preserve">Центральный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sz w:val="22"/>
              </w:rPr>
            </w:pPr>
            <w:r w:rsidRPr="00D508D6">
              <w:rPr>
                <w:rFonts w:eastAsia="Calibri"/>
                <w:sz w:val="22"/>
                <w:szCs w:val="24"/>
              </w:rPr>
              <w:t>3.8;</w:t>
            </w:r>
            <w:r w:rsidR="004E55E1" w:rsidRPr="00D508D6">
              <w:rPr>
                <w:rFonts w:eastAsia="Calibri"/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rFonts w:eastAsia="Calibri"/>
                <w:sz w:val="22"/>
                <w:szCs w:val="24"/>
              </w:rPr>
            </w:pPr>
            <w:r w:rsidRPr="00D508D6">
              <w:rPr>
                <w:rFonts w:eastAsia="Calibri"/>
                <w:sz w:val="22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rFonts w:eastAsia="Calibri"/>
                <w:sz w:val="22"/>
                <w:szCs w:val="24"/>
              </w:rPr>
            </w:pPr>
            <w:r w:rsidRPr="00D508D6">
              <w:rPr>
                <w:rFonts w:eastAsia="Calibri"/>
                <w:sz w:val="22"/>
                <w:szCs w:val="24"/>
              </w:rPr>
              <w:t>4,.2</w:t>
            </w:r>
          </w:p>
        </w:tc>
      </w:tr>
      <w:tr w:rsidR="00CE6F73" w:rsidRPr="00D508D6" w:rsidTr="00D508D6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rPr>
                <w:sz w:val="22"/>
              </w:rPr>
            </w:pPr>
            <w:r w:rsidRPr="00D508D6">
              <w:rPr>
                <w:rFonts w:eastAsia="Calibri"/>
                <w:sz w:val="22"/>
                <w:szCs w:val="24"/>
              </w:rPr>
              <w:t xml:space="preserve">Южный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sz w:val="22"/>
              </w:rPr>
            </w:pPr>
            <w:r w:rsidRPr="00D508D6">
              <w:rPr>
                <w:rFonts w:eastAsia="Calibri"/>
                <w:sz w:val="22"/>
                <w:szCs w:val="24"/>
              </w:rPr>
              <w:t>2.5</w:t>
            </w:r>
            <w:r w:rsidR="004E55E1" w:rsidRPr="00D508D6">
              <w:rPr>
                <w:rFonts w:eastAsia="Calibri"/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rFonts w:eastAsia="Calibri"/>
                <w:sz w:val="22"/>
                <w:szCs w:val="24"/>
              </w:rPr>
            </w:pPr>
            <w:r w:rsidRPr="00D508D6">
              <w:rPr>
                <w:rFonts w:eastAsia="Calibri"/>
                <w:sz w:val="22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rFonts w:eastAsia="Calibri"/>
                <w:sz w:val="22"/>
                <w:szCs w:val="24"/>
              </w:rPr>
            </w:pPr>
            <w:r w:rsidRPr="00D508D6">
              <w:rPr>
                <w:rFonts w:eastAsia="Calibri"/>
                <w:sz w:val="22"/>
                <w:szCs w:val="24"/>
              </w:rPr>
              <w:t>3,6</w:t>
            </w:r>
          </w:p>
        </w:tc>
      </w:tr>
      <w:tr w:rsidR="00CE6F73" w:rsidRPr="00D508D6" w:rsidTr="00D508D6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rPr>
                <w:sz w:val="22"/>
              </w:rPr>
            </w:pPr>
            <w:r w:rsidRPr="00D508D6">
              <w:rPr>
                <w:rFonts w:eastAsia="Calibri"/>
                <w:sz w:val="22"/>
                <w:szCs w:val="24"/>
              </w:rPr>
              <w:t xml:space="preserve">Приволжский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sz w:val="22"/>
              </w:rPr>
            </w:pPr>
            <w:r w:rsidRPr="00D508D6">
              <w:rPr>
                <w:rFonts w:eastAsia="Calibri"/>
                <w:sz w:val="22"/>
                <w:szCs w:val="24"/>
              </w:rPr>
              <w:t>3.0</w:t>
            </w:r>
            <w:r w:rsidR="004E55E1" w:rsidRPr="00D508D6">
              <w:rPr>
                <w:rFonts w:eastAsia="Calibri"/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rFonts w:eastAsia="Calibri"/>
                <w:sz w:val="22"/>
                <w:szCs w:val="24"/>
              </w:rPr>
            </w:pPr>
            <w:r w:rsidRPr="00D508D6">
              <w:rPr>
                <w:rFonts w:eastAsia="Calibri"/>
                <w:sz w:val="22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rFonts w:eastAsia="Calibri"/>
                <w:sz w:val="22"/>
                <w:szCs w:val="24"/>
              </w:rPr>
            </w:pPr>
            <w:r w:rsidRPr="00D508D6">
              <w:rPr>
                <w:rFonts w:eastAsia="Calibri"/>
                <w:sz w:val="22"/>
                <w:szCs w:val="24"/>
              </w:rPr>
              <w:t>4.5</w:t>
            </w:r>
          </w:p>
        </w:tc>
      </w:tr>
      <w:tr w:rsidR="00CE6F73" w:rsidRPr="00D508D6" w:rsidTr="00D508D6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rPr>
                <w:sz w:val="22"/>
              </w:rPr>
            </w:pPr>
            <w:r w:rsidRPr="00D508D6">
              <w:rPr>
                <w:rFonts w:eastAsia="Calibri"/>
                <w:sz w:val="22"/>
                <w:szCs w:val="24"/>
              </w:rPr>
              <w:t xml:space="preserve">Уральский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sz w:val="22"/>
              </w:rPr>
            </w:pPr>
            <w:r w:rsidRPr="00D508D6">
              <w:rPr>
                <w:rFonts w:eastAsia="Calibri"/>
                <w:sz w:val="22"/>
                <w:szCs w:val="24"/>
              </w:rPr>
              <w:t>3.2</w:t>
            </w:r>
            <w:r w:rsidR="004E55E1" w:rsidRPr="00D508D6">
              <w:rPr>
                <w:rFonts w:eastAsia="Calibri"/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rFonts w:eastAsia="Calibri"/>
                <w:sz w:val="22"/>
                <w:szCs w:val="24"/>
              </w:rPr>
            </w:pPr>
            <w:r w:rsidRPr="00D508D6">
              <w:rPr>
                <w:rFonts w:eastAsia="Calibri"/>
                <w:sz w:val="22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rFonts w:eastAsia="Calibri"/>
                <w:sz w:val="22"/>
                <w:szCs w:val="24"/>
              </w:rPr>
            </w:pPr>
            <w:r w:rsidRPr="00D508D6">
              <w:rPr>
                <w:rFonts w:eastAsia="Calibri"/>
                <w:sz w:val="22"/>
                <w:szCs w:val="24"/>
              </w:rPr>
              <w:t>4,0</w:t>
            </w:r>
          </w:p>
        </w:tc>
      </w:tr>
      <w:tr w:rsidR="00CE6F73" w:rsidRPr="00D508D6" w:rsidTr="00D508D6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rPr>
                <w:sz w:val="22"/>
              </w:rPr>
            </w:pPr>
            <w:r w:rsidRPr="00D508D6">
              <w:rPr>
                <w:rFonts w:eastAsia="Calibri"/>
                <w:sz w:val="22"/>
                <w:szCs w:val="24"/>
              </w:rPr>
              <w:t xml:space="preserve">Сибирский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sz w:val="22"/>
              </w:rPr>
            </w:pPr>
            <w:r w:rsidRPr="00D508D6">
              <w:rPr>
                <w:rFonts w:eastAsia="Calibri"/>
                <w:sz w:val="22"/>
                <w:szCs w:val="24"/>
              </w:rPr>
              <w:t>2.2</w:t>
            </w:r>
            <w:r w:rsidR="004E55E1" w:rsidRPr="00D508D6">
              <w:rPr>
                <w:rFonts w:eastAsia="Calibri"/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rFonts w:eastAsia="Calibri"/>
                <w:sz w:val="22"/>
                <w:szCs w:val="24"/>
              </w:rPr>
            </w:pPr>
            <w:r w:rsidRPr="00D508D6">
              <w:rPr>
                <w:rFonts w:eastAsia="Calibri"/>
                <w:sz w:val="22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rFonts w:eastAsia="Calibri"/>
                <w:sz w:val="22"/>
                <w:szCs w:val="24"/>
              </w:rPr>
            </w:pPr>
            <w:r w:rsidRPr="00D508D6">
              <w:rPr>
                <w:rFonts w:eastAsia="Calibri"/>
                <w:sz w:val="22"/>
                <w:szCs w:val="24"/>
              </w:rPr>
              <w:t>3.0</w:t>
            </w:r>
          </w:p>
        </w:tc>
      </w:tr>
      <w:tr w:rsidR="00CE6F73" w:rsidRPr="00D508D6" w:rsidTr="00D508D6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rPr>
                <w:sz w:val="22"/>
              </w:rPr>
            </w:pPr>
            <w:r w:rsidRPr="00D508D6">
              <w:rPr>
                <w:rFonts w:eastAsia="Calibri"/>
                <w:sz w:val="22"/>
                <w:szCs w:val="24"/>
              </w:rPr>
              <w:t xml:space="preserve">Дальневосточный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sz w:val="22"/>
              </w:rPr>
            </w:pPr>
            <w:r w:rsidRPr="00D508D6">
              <w:rPr>
                <w:rFonts w:eastAsia="Calibri"/>
                <w:sz w:val="22"/>
                <w:szCs w:val="24"/>
              </w:rPr>
              <w:t>1.9</w:t>
            </w:r>
            <w:r w:rsidR="004E55E1" w:rsidRPr="00D508D6">
              <w:rPr>
                <w:rFonts w:eastAsia="Calibri"/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rFonts w:eastAsia="Calibri"/>
                <w:sz w:val="22"/>
                <w:szCs w:val="24"/>
              </w:rPr>
            </w:pPr>
            <w:r w:rsidRPr="00D508D6">
              <w:rPr>
                <w:rFonts w:eastAsia="Calibri"/>
                <w:sz w:val="22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73" w:rsidRPr="00D508D6" w:rsidRDefault="00416772" w:rsidP="00D508D6">
            <w:pPr>
              <w:ind w:firstLine="0"/>
              <w:jc w:val="center"/>
              <w:rPr>
                <w:rFonts w:eastAsia="Calibri"/>
                <w:sz w:val="22"/>
                <w:szCs w:val="24"/>
              </w:rPr>
            </w:pPr>
            <w:r w:rsidRPr="00D508D6">
              <w:rPr>
                <w:rFonts w:eastAsia="Calibri"/>
                <w:sz w:val="22"/>
                <w:szCs w:val="24"/>
              </w:rPr>
              <w:t>3,8</w:t>
            </w:r>
          </w:p>
        </w:tc>
      </w:tr>
    </w:tbl>
    <w:p w:rsidR="00CE6F73" w:rsidRDefault="00416772" w:rsidP="000C2DA6">
      <w:pPr>
        <w:spacing w:before="4" w:after="200"/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Таким образом, можно констатировать, что использование категории социальной экологии открывает новые существенные возможности в социологическом изучении современных проблем взаимодействия природы и общества. Для реальных потребностей общественной практики мало знать мнение населения и его отдельных групп о состоянии окружающей среды, а также факторы его формирования. Необходимо понять, какие социальные процессы развиваются вследствие данного состояния, каковы их направленность и перспективы, кто может взять на себя функции субъекта реального или потенциального конфликта и т.д. Возникающие при этом методические проблемы представляются вполне разрешимыми. Во всяком случае, они не сложнее тех, которые уже успешно решаются социальной экологией.</w:t>
      </w:r>
    </w:p>
    <w:p w:rsidR="00D508D6" w:rsidRDefault="00D508D6" w:rsidP="00D508D6">
      <w:pPr>
        <w:rPr>
          <w:rFonts w:eastAsia="Calibri"/>
        </w:rPr>
      </w:pPr>
    </w:p>
    <w:p w:rsidR="00D508D6" w:rsidRPr="00D508D6" w:rsidRDefault="00D508D6" w:rsidP="00D508D6">
      <w:pPr>
        <w:jc w:val="center"/>
        <w:rPr>
          <w:rFonts w:eastAsia="Calibri"/>
          <w:b/>
        </w:rPr>
      </w:pPr>
      <w:r w:rsidRPr="00D508D6">
        <w:rPr>
          <w:rFonts w:eastAsia="Calibri"/>
          <w:b/>
        </w:rPr>
        <w:t>Литература</w:t>
      </w:r>
    </w:p>
    <w:p w:rsidR="00D508D6" w:rsidRPr="00C54BDD" w:rsidRDefault="00D508D6" w:rsidP="00D508D6">
      <w:pPr>
        <w:rPr>
          <w:sz w:val="22"/>
        </w:rPr>
      </w:pPr>
      <w:r w:rsidRPr="00C54BDD">
        <w:rPr>
          <w:sz w:val="22"/>
        </w:rPr>
        <w:t>1. Экология и общество: проблемы и приоритеты в условиях интеграции России. – М.: МНЭПУ, 2009. – С. 64-732.</w:t>
      </w:r>
    </w:p>
    <w:p w:rsidR="00D508D6" w:rsidRPr="00C54BDD" w:rsidRDefault="00D508D6" w:rsidP="00D508D6">
      <w:pPr>
        <w:rPr>
          <w:sz w:val="22"/>
        </w:rPr>
      </w:pPr>
      <w:r w:rsidRPr="00C54BDD">
        <w:rPr>
          <w:sz w:val="22"/>
        </w:rPr>
        <w:t xml:space="preserve">2. </w:t>
      </w:r>
      <w:proofErr w:type="spellStart"/>
      <w:r w:rsidRPr="00C54BDD">
        <w:rPr>
          <w:sz w:val="22"/>
        </w:rPr>
        <w:t>Сосунова</w:t>
      </w:r>
      <w:proofErr w:type="spellEnd"/>
      <w:r w:rsidRPr="00C54BDD">
        <w:rPr>
          <w:sz w:val="22"/>
        </w:rPr>
        <w:t xml:space="preserve"> И.А. Экология предметного мира: концептуальные основы и социальная практика. – М.: </w:t>
      </w:r>
      <w:proofErr w:type="spellStart"/>
      <w:r w:rsidRPr="00C54BDD">
        <w:rPr>
          <w:sz w:val="22"/>
        </w:rPr>
        <w:t>НИА-Природа</w:t>
      </w:r>
      <w:proofErr w:type="spellEnd"/>
      <w:r w:rsidRPr="00C54BDD">
        <w:rPr>
          <w:sz w:val="22"/>
        </w:rPr>
        <w:t>, 2014. – С. 152.</w:t>
      </w:r>
    </w:p>
    <w:p w:rsidR="00D508D6" w:rsidRPr="00C54BDD" w:rsidRDefault="00D508D6" w:rsidP="00D508D6">
      <w:pPr>
        <w:rPr>
          <w:sz w:val="22"/>
        </w:rPr>
      </w:pPr>
      <w:r w:rsidRPr="00C54BDD">
        <w:rPr>
          <w:sz w:val="22"/>
        </w:rPr>
        <w:t xml:space="preserve">3. Государственный доклад "О состоянии и об охране окружающей среды в 2016 году / Н.Г. </w:t>
      </w:r>
      <w:proofErr w:type="spellStart"/>
      <w:r w:rsidRPr="00C54BDD">
        <w:rPr>
          <w:sz w:val="22"/>
        </w:rPr>
        <w:t>Рыбальский</w:t>
      </w:r>
      <w:proofErr w:type="spellEnd"/>
      <w:r w:rsidRPr="00C54BDD">
        <w:rPr>
          <w:sz w:val="22"/>
        </w:rPr>
        <w:t>, Е.В. Мурав</w:t>
      </w:r>
      <w:r w:rsidR="00C54BDD">
        <w:rPr>
          <w:sz w:val="22"/>
        </w:rPr>
        <w:t>ь</w:t>
      </w:r>
      <w:r w:rsidRPr="00C54BDD">
        <w:rPr>
          <w:sz w:val="22"/>
        </w:rPr>
        <w:t xml:space="preserve">ева, Д.А. Борискин, А.Д. </w:t>
      </w:r>
      <w:proofErr w:type="spellStart"/>
      <w:r w:rsidRPr="00C54BDD">
        <w:rPr>
          <w:sz w:val="22"/>
        </w:rPr>
        <w:t>Думнов</w:t>
      </w:r>
      <w:proofErr w:type="spellEnd"/>
      <w:r w:rsidRPr="00C54BDD">
        <w:rPr>
          <w:sz w:val="22"/>
        </w:rPr>
        <w:t xml:space="preserve">, И.А. </w:t>
      </w:r>
      <w:proofErr w:type="spellStart"/>
      <w:r w:rsidRPr="00C54BDD">
        <w:rPr>
          <w:sz w:val="22"/>
        </w:rPr>
        <w:t>Сосунова</w:t>
      </w:r>
      <w:proofErr w:type="spellEnd"/>
      <w:r w:rsidRPr="00C54BDD">
        <w:rPr>
          <w:sz w:val="22"/>
        </w:rPr>
        <w:t xml:space="preserve"> и др. – М.: Минприроды России</w:t>
      </w:r>
      <w:r w:rsidR="00C54BDD" w:rsidRPr="00C54BDD">
        <w:rPr>
          <w:sz w:val="22"/>
        </w:rPr>
        <w:t xml:space="preserve">, </w:t>
      </w:r>
      <w:proofErr w:type="spellStart"/>
      <w:r w:rsidR="00C54BDD" w:rsidRPr="00C54BDD">
        <w:rPr>
          <w:sz w:val="22"/>
        </w:rPr>
        <w:t>НИА-Природа</w:t>
      </w:r>
      <w:proofErr w:type="spellEnd"/>
      <w:r w:rsidR="00C54BDD" w:rsidRPr="00C54BDD">
        <w:rPr>
          <w:sz w:val="22"/>
        </w:rPr>
        <w:t xml:space="preserve">, 2017. – 760 </w:t>
      </w:r>
      <w:proofErr w:type="gramStart"/>
      <w:r w:rsidR="00C54BDD" w:rsidRPr="00C54BDD">
        <w:rPr>
          <w:sz w:val="22"/>
        </w:rPr>
        <w:t>с</w:t>
      </w:r>
      <w:proofErr w:type="gramEnd"/>
      <w:r w:rsidR="00C54BDD" w:rsidRPr="00C54BDD">
        <w:rPr>
          <w:sz w:val="22"/>
        </w:rPr>
        <w:t>.</w:t>
      </w:r>
    </w:p>
    <w:p w:rsidR="00D508D6" w:rsidRPr="00C54BDD" w:rsidRDefault="00D508D6" w:rsidP="00D508D6">
      <w:pPr>
        <w:rPr>
          <w:sz w:val="22"/>
        </w:rPr>
      </w:pPr>
      <w:r w:rsidRPr="00C54BDD">
        <w:rPr>
          <w:sz w:val="22"/>
        </w:rPr>
        <w:t xml:space="preserve">4. </w:t>
      </w:r>
      <w:proofErr w:type="spellStart"/>
      <w:r w:rsidRPr="00C54BDD">
        <w:rPr>
          <w:sz w:val="22"/>
        </w:rPr>
        <w:t>Сосунова</w:t>
      </w:r>
      <w:proofErr w:type="spellEnd"/>
      <w:r w:rsidRPr="00C54BDD">
        <w:rPr>
          <w:sz w:val="22"/>
        </w:rPr>
        <w:t xml:space="preserve"> И.А.</w:t>
      </w:r>
      <w:r w:rsidR="00C54BDD" w:rsidRPr="00C54BDD">
        <w:rPr>
          <w:sz w:val="22"/>
        </w:rPr>
        <w:t xml:space="preserve">, Титаренко Л.Г. </w:t>
      </w:r>
      <w:r w:rsidRPr="00C54BDD">
        <w:rPr>
          <w:sz w:val="22"/>
        </w:rPr>
        <w:t>Экологические ценности и экологическое поведение в обществе риска</w:t>
      </w:r>
      <w:r w:rsidR="00C54BDD" w:rsidRPr="00C54BDD">
        <w:rPr>
          <w:sz w:val="22"/>
        </w:rPr>
        <w:t xml:space="preserve"> // </w:t>
      </w:r>
      <w:r w:rsidRPr="00C54BDD">
        <w:rPr>
          <w:sz w:val="22"/>
        </w:rPr>
        <w:t>Использование и охрана природных ресурсов в России</w:t>
      </w:r>
      <w:r w:rsidR="00C54BDD" w:rsidRPr="00C54BDD">
        <w:rPr>
          <w:sz w:val="22"/>
        </w:rPr>
        <w:t>, 2015</w:t>
      </w:r>
      <w:r w:rsidRPr="00C54BDD">
        <w:rPr>
          <w:sz w:val="22"/>
        </w:rPr>
        <w:t>.</w:t>
      </w:r>
      <w:r w:rsidR="00C54BDD" w:rsidRPr="00C54BDD">
        <w:rPr>
          <w:sz w:val="22"/>
        </w:rPr>
        <w:t xml:space="preserve"> </w:t>
      </w:r>
      <w:r w:rsidRPr="00C54BDD">
        <w:rPr>
          <w:sz w:val="22"/>
        </w:rPr>
        <w:t>№5</w:t>
      </w:r>
      <w:r w:rsidR="00C54BDD" w:rsidRPr="00C54BDD">
        <w:rPr>
          <w:sz w:val="22"/>
        </w:rPr>
        <w:t>. – С</w:t>
      </w:r>
      <w:r w:rsidRPr="00C54BDD">
        <w:rPr>
          <w:sz w:val="22"/>
        </w:rPr>
        <w:t>.</w:t>
      </w:r>
      <w:r w:rsidR="00C54BDD" w:rsidRPr="00C54BDD">
        <w:rPr>
          <w:sz w:val="22"/>
        </w:rPr>
        <w:t xml:space="preserve"> </w:t>
      </w:r>
      <w:r w:rsidRPr="00C54BDD">
        <w:rPr>
          <w:sz w:val="22"/>
        </w:rPr>
        <w:t>102-106</w:t>
      </w:r>
      <w:r w:rsidR="00C54BDD" w:rsidRPr="00C54BDD">
        <w:rPr>
          <w:sz w:val="22"/>
        </w:rPr>
        <w:t>.</w:t>
      </w:r>
    </w:p>
    <w:p w:rsidR="00D508D6" w:rsidRPr="00C54BDD" w:rsidRDefault="00D508D6" w:rsidP="00D508D6">
      <w:pPr>
        <w:rPr>
          <w:sz w:val="22"/>
        </w:rPr>
      </w:pPr>
      <w:r w:rsidRPr="00C54BDD">
        <w:rPr>
          <w:sz w:val="22"/>
        </w:rPr>
        <w:t xml:space="preserve">5. </w:t>
      </w:r>
      <w:proofErr w:type="spellStart"/>
      <w:r w:rsidRPr="00C54BDD">
        <w:rPr>
          <w:sz w:val="22"/>
        </w:rPr>
        <w:t>Сосунова</w:t>
      </w:r>
      <w:proofErr w:type="spellEnd"/>
      <w:r w:rsidRPr="00C54BDD">
        <w:rPr>
          <w:sz w:val="22"/>
        </w:rPr>
        <w:t xml:space="preserve"> И.А. Социальные ориентиры модернизации государственной экологической политики</w:t>
      </w:r>
      <w:r w:rsidR="00C54BDD" w:rsidRPr="00C54BDD">
        <w:rPr>
          <w:sz w:val="22"/>
        </w:rPr>
        <w:t xml:space="preserve"> // Качество и жизнь, 2017. №2. –</w:t>
      </w:r>
      <w:r w:rsidRPr="00C54BDD">
        <w:rPr>
          <w:sz w:val="22"/>
        </w:rPr>
        <w:t xml:space="preserve"> </w:t>
      </w:r>
      <w:r w:rsidR="00C54BDD" w:rsidRPr="00C54BDD">
        <w:rPr>
          <w:sz w:val="22"/>
        </w:rPr>
        <w:t>С</w:t>
      </w:r>
      <w:r w:rsidRPr="00C54BDD">
        <w:rPr>
          <w:sz w:val="22"/>
        </w:rPr>
        <w:t>.</w:t>
      </w:r>
      <w:r w:rsidR="00C54BDD" w:rsidRPr="00C54BDD">
        <w:rPr>
          <w:sz w:val="22"/>
        </w:rPr>
        <w:t xml:space="preserve"> </w:t>
      </w:r>
      <w:r w:rsidRPr="00C54BDD">
        <w:rPr>
          <w:sz w:val="22"/>
        </w:rPr>
        <w:t>4-10</w:t>
      </w:r>
      <w:r w:rsidR="00C54BDD" w:rsidRPr="00C54BDD">
        <w:rPr>
          <w:sz w:val="22"/>
        </w:rPr>
        <w:t>.</w:t>
      </w:r>
    </w:p>
    <w:p w:rsidR="00D508D6" w:rsidRPr="00C54BDD" w:rsidRDefault="00D508D6" w:rsidP="00D508D6">
      <w:pPr>
        <w:rPr>
          <w:rFonts w:eastAsia="Calibri"/>
          <w:sz w:val="22"/>
        </w:rPr>
      </w:pPr>
    </w:p>
    <w:p w:rsidR="00D508D6" w:rsidRPr="00C54BDD" w:rsidRDefault="00C54BDD" w:rsidP="00C54BDD">
      <w:pPr>
        <w:jc w:val="center"/>
        <w:rPr>
          <w:rFonts w:eastAsia="Calibri"/>
          <w:i/>
        </w:rPr>
      </w:pPr>
      <w:r w:rsidRPr="00C54BDD">
        <w:rPr>
          <w:rFonts w:eastAsia="Calibri"/>
          <w:i/>
        </w:rPr>
        <w:t>Сведения об авторе</w:t>
      </w:r>
      <w:r>
        <w:rPr>
          <w:rFonts w:eastAsia="Calibri"/>
          <w:i/>
        </w:rPr>
        <w:t>:</w:t>
      </w:r>
    </w:p>
    <w:p w:rsidR="00D508D6" w:rsidRDefault="00D508D6" w:rsidP="00D508D6"/>
    <w:sectPr w:rsidR="00D508D6" w:rsidSect="001135DA">
      <w:footerReference w:type="default" r:id="rId6"/>
      <w:pgSz w:w="11906" w:h="16838"/>
      <w:pgMar w:top="1134" w:right="96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F8" w:rsidRDefault="001D63F8" w:rsidP="00CE6F73">
      <w:r>
        <w:separator/>
      </w:r>
    </w:p>
  </w:endnote>
  <w:endnote w:type="continuationSeparator" w:id="0">
    <w:p w:rsidR="001D63F8" w:rsidRDefault="001D63F8" w:rsidP="00CE6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-Bold">
    <w:charset w:val="00"/>
    <w:family w:val="auto"/>
    <w:pitch w:val="default"/>
    <w:sig w:usb0="00000000" w:usb1="00000000" w:usb2="00000000" w:usb3="00000000" w:csb0="00000000" w:csb1="00000000"/>
  </w:font>
  <w:font w:name="PTSans-Regular"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725"/>
      <w:docPartObj>
        <w:docPartGallery w:val="Page Numbers (Bottom of Page)"/>
        <w:docPartUnique/>
      </w:docPartObj>
    </w:sdtPr>
    <w:sdtContent>
      <w:p w:rsidR="001135DA" w:rsidRDefault="002157B7">
        <w:pPr>
          <w:pStyle w:val="a6"/>
          <w:jc w:val="right"/>
        </w:pPr>
        <w:fldSimple w:instr=" PAGE   \* MERGEFORMAT ">
          <w:r w:rsidR="00C83637">
            <w:rPr>
              <w:noProof/>
            </w:rPr>
            <w:t>1</w:t>
          </w:r>
        </w:fldSimple>
      </w:p>
    </w:sdtContent>
  </w:sdt>
  <w:p w:rsidR="001135DA" w:rsidRDefault="001135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F8" w:rsidRDefault="001D63F8" w:rsidP="00CE6F73">
      <w:r w:rsidRPr="00CE6F73">
        <w:rPr>
          <w:color w:val="000000"/>
        </w:rPr>
        <w:separator/>
      </w:r>
    </w:p>
  </w:footnote>
  <w:footnote w:type="continuationSeparator" w:id="0">
    <w:p w:rsidR="001D63F8" w:rsidRDefault="001D63F8" w:rsidP="00CE6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F73"/>
    <w:rsid w:val="000C2DA6"/>
    <w:rsid w:val="001135DA"/>
    <w:rsid w:val="001D63F8"/>
    <w:rsid w:val="002157B7"/>
    <w:rsid w:val="002D4D7A"/>
    <w:rsid w:val="002E7D36"/>
    <w:rsid w:val="003A0928"/>
    <w:rsid w:val="00416772"/>
    <w:rsid w:val="00490307"/>
    <w:rsid w:val="004E55E1"/>
    <w:rsid w:val="00565F33"/>
    <w:rsid w:val="009B3861"/>
    <w:rsid w:val="009E7212"/>
    <w:rsid w:val="00BC2F7D"/>
    <w:rsid w:val="00C54BDD"/>
    <w:rsid w:val="00C83637"/>
    <w:rsid w:val="00CE6F73"/>
    <w:rsid w:val="00D5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5F33"/>
    <w:pPr>
      <w:suppressAutoHyphens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E6F73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1135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35DA"/>
  </w:style>
  <w:style w:type="paragraph" w:styleId="a6">
    <w:name w:val="footer"/>
    <w:basedOn w:val="a"/>
    <w:link w:val="a7"/>
    <w:uiPriority w:val="99"/>
    <w:unhideWhenUsed/>
    <w:rsid w:val="00113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35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Evgenija</dc:creator>
  <cp:lastModifiedBy>лю</cp:lastModifiedBy>
  <cp:revision>5</cp:revision>
  <cp:lastPrinted>2019-10-28T07:58:00Z</cp:lastPrinted>
  <dcterms:created xsi:type="dcterms:W3CDTF">2019-10-28T07:58:00Z</dcterms:created>
  <dcterms:modified xsi:type="dcterms:W3CDTF">2019-11-01T15:46:00Z</dcterms:modified>
</cp:coreProperties>
</file>